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316" w:rsidRPr="00AA4233" w:rsidRDefault="00AA4233" w:rsidP="0088459C">
      <w:pPr>
        <w:pStyle w:val="ConsPlusNonformat"/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A42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88459C" w:rsidRPr="00AA42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чтение </w:t>
      </w:r>
    </w:p>
    <w:p w:rsidR="0088459C" w:rsidRPr="00AA4233" w:rsidRDefault="0088459C" w:rsidP="0088459C">
      <w:pPr>
        <w:pStyle w:val="ConsPlusNonformat"/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85F6A" w:rsidRPr="00BF47EE" w:rsidRDefault="00885F6A" w:rsidP="00885F6A">
      <w:pPr>
        <w:spacing w:line="276" w:lineRule="auto"/>
        <w:jc w:val="center"/>
        <w:rPr>
          <w:b/>
          <w:sz w:val="26"/>
          <w:szCs w:val="26"/>
        </w:rPr>
      </w:pPr>
      <w:r w:rsidRPr="00BF47EE">
        <w:rPr>
          <w:b/>
          <w:sz w:val="26"/>
          <w:szCs w:val="26"/>
        </w:rPr>
        <w:t xml:space="preserve">Пояснительная записка к проекту бюджета Новокузнецкого </w:t>
      </w:r>
    </w:p>
    <w:p w:rsidR="00885F6A" w:rsidRPr="00BF47EE" w:rsidRDefault="00885F6A" w:rsidP="00885F6A">
      <w:pPr>
        <w:spacing w:line="276" w:lineRule="auto"/>
        <w:jc w:val="center"/>
        <w:rPr>
          <w:b/>
          <w:sz w:val="26"/>
          <w:szCs w:val="26"/>
        </w:rPr>
      </w:pPr>
      <w:r w:rsidRPr="00BF47EE">
        <w:rPr>
          <w:b/>
          <w:sz w:val="26"/>
          <w:szCs w:val="26"/>
        </w:rPr>
        <w:t>городского округа на 2020 год и плановый период 2021 и 2022 годов</w:t>
      </w:r>
    </w:p>
    <w:p w:rsidR="00885F6A" w:rsidRPr="00BF47EE" w:rsidRDefault="00885F6A" w:rsidP="00885F6A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6"/>
          <w:szCs w:val="26"/>
          <w:highlight w:val="yellow"/>
          <w:lang w:eastAsia="en-US"/>
        </w:rPr>
      </w:pPr>
    </w:p>
    <w:p w:rsidR="00885F6A" w:rsidRPr="00BF47EE" w:rsidRDefault="00885F6A" w:rsidP="00885F6A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proofErr w:type="gramStart"/>
      <w:r w:rsidRPr="00BF47EE">
        <w:rPr>
          <w:sz w:val="26"/>
          <w:szCs w:val="26"/>
        </w:rPr>
        <w:t xml:space="preserve">Бюджет Новокузнецкого городского округа на 2020 год и на плановый период 2021 и 2022 годов формировался в соответствии с Федеральным законом Российской Федерации «О федеральном бюджете </w:t>
      </w:r>
      <w:r w:rsidRPr="00BF47EE">
        <w:rPr>
          <w:bCs/>
          <w:sz w:val="26"/>
          <w:szCs w:val="26"/>
        </w:rPr>
        <w:t>на 2020 год и на плановый период 2021 и 2022 годов»</w:t>
      </w:r>
      <w:r w:rsidRPr="00BF47EE">
        <w:rPr>
          <w:sz w:val="26"/>
          <w:szCs w:val="26"/>
        </w:rPr>
        <w:t>, проектом Закона Кемеровской области - Кузбасса «Об областном бюджете на 2020 год и на плановый период 2021 и 2022 годов» (1 чтение), основными направлениями</w:t>
      </w:r>
      <w:proofErr w:type="gramEnd"/>
      <w:r w:rsidRPr="00BF47EE">
        <w:rPr>
          <w:sz w:val="26"/>
          <w:szCs w:val="26"/>
        </w:rPr>
        <w:t xml:space="preserve"> бюджетной, налоговой и </w:t>
      </w:r>
      <w:proofErr w:type="spellStart"/>
      <w:r w:rsidRPr="00BF47EE">
        <w:rPr>
          <w:sz w:val="26"/>
          <w:szCs w:val="26"/>
        </w:rPr>
        <w:t>таможенно-тарифной</w:t>
      </w:r>
      <w:proofErr w:type="spellEnd"/>
      <w:r w:rsidRPr="00BF47EE">
        <w:rPr>
          <w:sz w:val="26"/>
          <w:szCs w:val="26"/>
        </w:rPr>
        <w:t xml:space="preserve"> политики </w:t>
      </w:r>
      <w:r w:rsidR="00C4021A" w:rsidRPr="00BF47EE">
        <w:rPr>
          <w:sz w:val="26"/>
          <w:szCs w:val="26"/>
        </w:rPr>
        <w:t xml:space="preserve">Российской Федерации </w:t>
      </w:r>
      <w:r w:rsidRPr="00BF47EE">
        <w:rPr>
          <w:sz w:val="26"/>
          <w:szCs w:val="26"/>
        </w:rPr>
        <w:t xml:space="preserve">на 2020 год и на плановый период 2021 и 2022 годов, </w:t>
      </w:r>
      <w:r w:rsidRPr="00BF47EE">
        <w:rPr>
          <w:bCs/>
          <w:sz w:val="26"/>
          <w:szCs w:val="26"/>
        </w:rPr>
        <w:t>Новокузнецкого городского округа</w:t>
      </w:r>
      <w:r w:rsidRPr="00BF47EE">
        <w:rPr>
          <w:sz w:val="26"/>
          <w:szCs w:val="26"/>
        </w:rPr>
        <w:t>, ожидаемыми итогами социально-экономического развития Новокузнецкого городского округа за 2019 год и прогнозом социально-экономического развития Новокузнецкого городского округа на 2020 год и на плановый период 2021 и 2022 годов.</w:t>
      </w:r>
    </w:p>
    <w:p w:rsidR="00885F6A" w:rsidRPr="00BF47EE" w:rsidRDefault="00885F6A" w:rsidP="00885F6A">
      <w:pPr>
        <w:spacing w:line="276" w:lineRule="auto"/>
        <w:jc w:val="center"/>
        <w:rPr>
          <w:color w:val="000000"/>
          <w:sz w:val="26"/>
          <w:szCs w:val="26"/>
          <w:highlight w:val="yellow"/>
        </w:rPr>
      </w:pPr>
    </w:p>
    <w:p w:rsidR="00885F6A" w:rsidRPr="00BF47EE" w:rsidRDefault="00885F6A" w:rsidP="00885F6A">
      <w:pPr>
        <w:spacing w:line="276" w:lineRule="auto"/>
        <w:jc w:val="center"/>
        <w:rPr>
          <w:b/>
          <w:sz w:val="26"/>
          <w:szCs w:val="26"/>
        </w:rPr>
      </w:pPr>
      <w:r w:rsidRPr="00BF47EE">
        <w:rPr>
          <w:b/>
          <w:sz w:val="26"/>
          <w:szCs w:val="26"/>
        </w:rPr>
        <w:t>ДОХОДЫ</w:t>
      </w:r>
    </w:p>
    <w:p w:rsidR="00885F6A" w:rsidRPr="00BF47EE" w:rsidRDefault="00885F6A" w:rsidP="00885F6A">
      <w:pPr>
        <w:spacing w:line="276" w:lineRule="auto"/>
        <w:ind w:firstLine="709"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Проектом бюджета Новокузнецкого городского округа предлагается установить:</w:t>
      </w:r>
    </w:p>
    <w:p w:rsidR="00885F6A" w:rsidRPr="009A73C7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r w:rsidRPr="009A73C7">
        <w:rPr>
          <w:sz w:val="26"/>
          <w:szCs w:val="26"/>
        </w:rPr>
        <w:t>на 2020 год:</w:t>
      </w:r>
    </w:p>
    <w:p w:rsidR="00885F6A" w:rsidRPr="003262C9" w:rsidRDefault="00885F6A" w:rsidP="003262C9">
      <w:pPr>
        <w:pStyle w:val="af1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3262C9">
        <w:rPr>
          <w:sz w:val="26"/>
          <w:szCs w:val="26"/>
        </w:rPr>
        <w:t>доходы городского бюджета в сумме 18 900 948,6 тыс. рублей, из них налоговые и неналоговые доходы 6 745 756,1 тыс. рублей, безвозмездные поступления от других бюджетов бюджетной системы Российской Федерации 12 110 242,5 тыс. рублей, прочие безвозмездные поступления</w:t>
      </w:r>
      <w:r w:rsidR="003262C9">
        <w:rPr>
          <w:sz w:val="26"/>
          <w:szCs w:val="26"/>
        </w:rPr>
        <w:t xml:space="preserve"> 44 950,0 тыс. рублей.</w:t>
      </w:r>
    </w:p>
    <w:p w:rsidR="00885F6A" w:rsidRPr="003262C9" w:rsidRDefault="00885F6A" w:rsidP="003262C9">
      <w:pPr>
        <w:pStyle w:val="af1"/>
        <w:tabs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3262C9">
        <w:rPr>
          <w:sz w:val="26"/>
          <w:szCs w:val="26"/>
        </w:rPr>
        <w:t>на 2021 год:</w:t>
      </w:r>
    </w:p>
    <w:p w:rsidR="00885F6A" w:rsidRPr="003262C9" w:rsidRDefault="00885F6A" w:rsidP="003262C9">
      <w:pPr>
        <w:pStyle w:val="af1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3262C9">
        <w:rPr>
          <w:sz w:val="26"/>
          <w:szCs w:val="26"/>
        </w:rPr>
        <w:t xml:space="preserve">доходы городского бюджета в сумме 16 787 747,0 тыс. рублей, из них налоговые и неналоговые доходы  6 586 944,8 тыс. рублей, безвозмездные поступления от других бюджетов бюджетной системы Российской Федерации 10 155 852,2 тыс. рублей, прочие безвозмездные поступления 44 950,0 тыс. рублей.   </w:t>
      </w:r>
    </w:p>
    <w:p w:rsidR="00885F6A" w:rsidRPr="003262C9" w:rsidRDefault="00885F6A" w:rsidP="003262C9">
      <w:pPr>
        <w:pStyle w:val="af1"/>
        <w:tabs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3262C9">
        <w:rPr>
          <w:sz w:val="26"/>
          <w:szCs w:val="26"/>
        </w:rPr>
        <w:t>на 2022 год:</w:t>
      </w:r>
    </w:p>
    <w:p w:rsidR="00885F6A" w:rsidRPr="003262C9" w:rsidRDefault="00885F6A" w:rsidP="003262C9">
      <w:pPr>
        <w:pStyle w:val="af1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3262C9">
        <w:rPr>
          <w:sz w:val="26"/>
          <w:szCs w:val="26"/>
        </w:rPr>
        <w:t>доходы городского бюджета в сумме 15 458 647,5 тыс. рублей, из них налоговые и н</w:t>
      </w:r>
      <w:r w:rsidR="003262C9">
        <w:rPr>
          <w:sz w:val="26"/>
          <w:szCs w:val="26"/>
        </w:rPr>
        <w:t xml:space="preserve">еналоговые доходы  6 649 776,8 </w:t>
      </w:r>
      <w:r w:rsidRPr="003262C9">
        <w:rPr>
          <w:sz w:val="26"/>
          <w:szCs w:val="26"/>
        </w:rPr>
        <w:t xml:space="preserve">тыс. рублей, безвозмездные поступления от других бюджетов бюджетной системы Российской Федерации  8 789 012,7 тыс. рублей, прочие безвозмездные поступления 19 858,0 тыс. рублей.  </w:t>
      </w:r>
    </w:p>
    <w:p w:rsidR="00885F6A" w:rsidRPr="00BF47EE" w:rsidRDefault="00885F6A" w:rsidP="00885F6A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BF47EE">
        <w:rPr>
          <w:sz w:val="26"/>
          <w:szCs w:val="26"/>
        </w:rPr>
        <w:t>Параметры городского бюджета по налоговым и неналоговым доходам сформированы в соответствии с Методикой прогнозирования налоговых и неналоговых доходов городского бюджета на очередной финансовый год и плановый период, утверждённой приказом финансового управления города Новокузнецка и исходя из расчётов предоставленных главными администраторами доходов бюджета:</w:t>
      </w:r>
      <w:proofErr w:type="gramEnd"/>
    </w:p>
    <w:p w:rsidR="00885F6A" w:rsidRPr="009A73C7" w:rsidRDefault="00885F6A" w:rsidP="009A73C7">
      <w:pPr>
        <w:pStyle w:val="af1"/>
        <w:numPr>
          <w:ilvl w:val="0"/>
          <w:numId w:val="8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9A73C7">
        <w:rPr>
          <w:sz w:val="26"/>
          <w:szCs w:val="26"/>
        </w:rPr>
        <w:t>федеральными органами государственной власти, органами государственной власти Кемеровской области</w:t>
      </w:r>
      <w:r w:rsidR="009044FD">
        <w:rPr>
          <w:sz w:val="26"/>
          <w:szCs w:val="26"/>
        </w:rPr>
        <w:t>,</w:t>
      </w:r>
      <w:r w:rsidRPr="009A73C7">
        <w:rPr>
          <w:sz w:val="26"/>
          <w:szCs w:val="26"/>
        </w:rPr>
        <w:t xml:space="preserve"> в соответствии с утвержденными ими Методиками прогнозирования поступлений доходов;</w:t>
      </w:r>
    </w:p>
    <w:p w:rsidR="00885F6A" w:rsidRPr="009A73C7" w:rsidRDefault="00885F6A" w:rsidP="009A73C7">
      <w:pPr>
        <w:pStyle w:val="af1"/>
        <w:numPr>
          <w:ilvl w:val="0"/>
          <w:numId w:val="8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9A73C7">
        <w:rPr>
          <w:sz w:val="26"/>
          <w:szCs w:val="26"/>
        </w:rPr>
        <w:lastRenderedPageBreak/>
        <w:t>органами местного самоуправления</w:t>
      </w:r>
      <w:r w:rsidR="009044FD">
        <w:rPr>
          <w:sz w:val="26"/>
          <w:szCs w:val="26"/>
        </w:rPr>
        <w:t>,</w:t>
      </w:r>
      <w:r w:rsidRPr="009A73C7">
        <w:rPr>
          <w:sz w:val="26"/>
          <w:szCs w:val="26"/>
        </w:rPr>
        <w:t xml:space="preserve"> в соответствии с утвержденными ими Методиками прогнозирования поступлений доходов.</w:t>
      </w:r>
    </w:p>
    <w:p w:rsidR="00885F6A" w:rsidRPr="00BF47EE" w:rsidRDefault="00885F6A" w:rsidP="00885F6A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Прогноз доходов бюджета города на 2020 год и на плановый период 2021 и 2022 годов определён</w:t>
      </w:r>
      <w:r w:rsidR="009044FD">
        <w:rPr>
          <w:sz w:val="26"/>
          <w:szCs w:val="26"/>
        </w:rPr>
        <w:t>,</w:t>
      </w:r>
      <w:r w:rsidRPr="00BF47EE">
        <w:rPr>
          <w:sz w:val="26"/>
          <w:szCs w:val="26"/>
        </w:rPr>
        <w:t xml:space="preserve"> исходя из действующего налогового и бюджетного законодательства Российской Федерации, законодательства Кемеровской области - Кузбасса и муниципальных правовых актов Новокузнецкого городского округа.</w:t>
      </w:r>
    </w:p>
    <w:p w:rsidR="00885F6A" w:rsidRPr="00BF47EE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BF47EE">
        <w:rPr>
          <w:sz w:val="26"/>
          <w:szCs w:val="26"/>
        </w:rPr>
        <w:t>Формирование проекта бюджета города на 2020 - 2022 годы произведено в соответствии с нормативами отчислений, установленными в бюджеты городских округов Бюджетным кодексом Российской Федерации, проектом Закона Кемеровской области - Кузбасса «Об областном бюджете на 2020 год и на плановый период 2021 и 2022 годов» (1 чтение), Законом Кемеровской области от 24.11.2005</w:t>
      </w:r>
      <w:r w:rsidR="000D3F1A">
        <w:rPr>
          <w:sz w:val="26"/>
          <w:szCs w:val="26"/>
        </w:rPr>
        <w:t>г.</w:t>
      </w:r>
      <w:r w:rsidRPr="00BF47EE">
        <w:rPr>
          <w:sz w:val="26"/>
          <w:szCs w:val="26"/>
        </w:rPr>
        <w:t xml:space="preserve"> № 134-ОЗ (ред. от 18.07.2019</w:t>
      </w:r>
      <w:r w:rsidR="000D3F1A">
        <w:rPr>
          <w:sz w:val="26"/>
          <w:szCs w:val="26"/>
        </w:rPr>
        <w:t>г.</w:t>
      </w:r>
      <w:r w:rsidRPr="00BF47EE">
        <w:rPr>
          <w:sz w:val="26"/>
          <w:szCs w:val="26"/>
        </w:rPr>
        <w:t>) «О межбюджетных отношениях в Кемеровской</w:t>
      </w:r>
      <w:proofErr w:type="gramEnd"/>
      <w:r w:rsidRPr="00BF47EE">
        <w:rPr>
          <w:sz w:val="26"/>
          <w:szCs w:val="26"/>
        </w:rPr>
        <w:t xml:space="preserve"> области».</w:t>
      </w:r>
    </w:p>
    <w:p w:rsidR="00885F6A" w:rsidRDefault="00885F6A" w:rsidP="00885F6A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0A78AD">
        <w:rPr>
          <w:sz w:val="26"/>
          <w:szCs w:val="26"/>
        </w:rPr>
        <w:t>Структура планируемых доходов бюджета на 2020 год и плановый период 2021-2022 годов</w:t>
      </w:r>
      <w:r>
        <w:rPr>
          <w:sz w:val="26"/>
          <w:szCs w:val="26"/>
        </w:rPr>
        <w:t xml:space="preserve"> представлена в таблице </w:t>
      </w:r>
      <w:r w:rsidR="00197604">
        <w:rPr>
          <w:sz w:val="26"/>
          <w:szCs w:val="26"/>
        </w:rPr>
        <w:t>ниже</w:t>
      </w:r>
      <w:r w:rsidRPr="000A78AD">
        <w:rPr>
          <w:sz w:val="26"/>
          <w:szCs w:val="26"/>
        </w:rPr>
        <w:t>.</w:t>
      </w:r>
    </w:p>
    <w:p w:rsidR="00885F6A" w:rsidRPr="00BF47EE" w:rsidRDefault="00885F6A" w:rsidP="00885F6A">
      <w:pPr>
        <w:pStyle w:val="aa"/>
        <w:spacing w:after="0" w:line="276" w:lineRule="auto"/>
        <w:ind w:firstLine="567"/>
        <w:jc w:val="both"/>
        <w:rPr>
          <w:sz w:val="26"/>
          <w:szCs w:val="26"/>
          <w:highlight w:val="yellow"/>
        </w:rPr>
      </w:pPr>
    </w:p>
    <w:p w:rsidR="00885F6A" w:rsidRPr="00BF47EE" w:rsidRDefault="00885F6A" w:rsidP="00885F6A">
      <w:pPr>
        <w:pStyle w:val="9"/>
        <w:spacing w:before="0"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F47EE">
        <w:rPr>
          <w:rFonts w:ascii="Times New Roman" w:hAnsi="Times New Roman" w:cs="Times New Roman"/>
          <w:sz w:val="26"/>
          <w:szCs w:val="26"/>
        </w:rPr>
        <w:t>Особенности прогнозирования поступлений по отдельным видам доходов</w:t>
      </w:r>
    </w:p>
    <w:p w:rsidR="00885F6A" w:rsidRPr="00BF47EE" w:rsidRDefault="00885F6A" w:rsidP="00885F6A">
      <w:pPr>
        <w:spacing w:line="276" w:lineRule="auto"/>
        <w:jc w:val="center"/>
        <w:rPr>
          <w:sz w:val="26"/>
          <w:szCs w:val="26"/>
        </w:rPr>
      </w:pPr>
    </w:p>
    <w:p w:rsidR="00885F6A" w:rsidRPr="00BF47EE" w:rsidRDefault="00885F6A" w:rsidP="00885F6A">
      <w:pPr>
        <w:spacing w:line="276" w:lineRule="auto"/>
        <w:jc w:val="center"/>
        <w:rPr>
          <w:sz w:val="26"/>
          <w:szCs w:val="26"/>
        </w:rPr>
      </w:pPr>
      <w:r w:rsidRPr="00BF47EE">
        <w:rPr>
          <w:sz w:val="26"/>
          <w:szCs w:val="26"/>
        </w:rPr>
        <w:t>НАЛОГОВЫЕ ДОХОДЫ</w:t>
      </w:r>
    </w:p>
    <w:p w:rsidR="00885F6A" w:rsidRPr="00BF47EE" w:rsidRDefault="00885F6A" w:rsidP="00885F6A">
      <w:pPr>
        <w:spacing w:line="276" w:lineRule="auto"/>
        <w:jc w:val="right"/>
        <w:rPr>
          <w:rFonts w:eastAsiaTheme="minorHAnsi"/>
          <w:color w:val="000000"/>
          <w:sz w:val="26"/>
          <w:szCs w:val="26"/>
          <w:lang w:eastAsia="en-US"/>
        </w:rPr>
      </w:pPr>
    </w:p>
    <w:p w:rsidR="00885F6A" w:rsidRPr="00BF47EE" w:rsidRDefault="00885F6A" w:rsidP="00885F6A">
      <w:pPr>
        <w:spacing w:line="276" w:lineRule="auto"/>
        <w:ind w:firstLine="708"/>
        <w:contextualSpacing/>
        <w:jc w:val="both"/>
        <w:rPr>
          <w:sz w:val="26"/>
          <w:szCs w:val="26"/>
        </w:rPr>
      </w:pPr>
      <w:r w:rsidRPr="00BF47EE">
        <w:rPr>
          <w:sz w:val="26"/>
          <w:szCs w:val="26"/>
        </w:rPr>
        <w:t xml:space="preserve">Проектом предлагается установить объем налоговых доходов на 2020 год в размере </w:t>
      </w:r>
      <w:r w:rsidRPr="00BF47EE">
        <w:rPr>
          <w:color w:val="000000"/>
          <w:sz w:val="26"/>
          <w:szCs w:val="26"/>
        </w:rPr>
        <w:t>6 200 838,9</w:t>
      </w:r>
      <w:r w:rsidRPr="00BF47EE">
        <w:rPr>
          <w:sz w:val="26"/>
          <w:szCs w:val="26"/>
        </w:rPr>
        <w:t xml:space="preserve"> </w:t>
      </w:r>
      <w:r w:rsidRPr="00BF47EE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BF47EE">
        <w:rPr>
          <w:sz w:val="26"/>
          <w:szCs w:val="26"/>
        </w:rPr>
        <w:t xml:space="preserve">, на 2021 в размере </w:t>
      </w:r>
      <w:r w:rsidRPr="00BF47EE">
        <w:rPr>
          <w:rFonts w:eastAsiaTheme="minorHAnsi"/>
          <w:color w:val="000000"/>
          <w:sz w:val="26"/>
          <w:szCs w:val="26"/>
          <w:lang w:eastAsia="en-US"/>
        </w:rPr>
        <w:t>6 025 607,6</w:t>
      </w:r>
      <w:r w:rsidRPr="00BF47EE">
        <w:rPr>
          <w:color w:val="000000"/>
          <w:sz w:val="26"/>
          <w:szCs w:val="26"/>
        </w:rPr>
        <w:t xml:space="preserve"> </w:t>
      </w:r>
      <w:r w:rsidRPr="00BF47EE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BF47EE">
        <w:rPr>
          <w:sz w:val="26"/>
          <w:szCs w:val="26"/>
        </w:rPr>
        <w:t xml:space="preserve">, на 2022 в размере 6 076 307,6 </w:t>
      </w:r>
      <w:r w:rsidRPr="00BF47EE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BF47EE">
        <w:rPr>
          <w:sz w:val="26"/>
          <w:szCs w:val="26"/>
        </w:rPr>
        <w:t xml:space="preserve"> </w:t>
      </w:r>
    </w:p>
    <w:p w:rsidR="00885F6A" w:rsidRPr="00BF47EE" w:rsidRDefault="00885F6A" w:rsidP="00885F6A">
      <w:pPr>
        <w:spacing w:line="276" w:lineRule="auto"/>
        <w:ind w:firstLine="708"/>
        <w:contextualSpacing/>
        <w:jc w:val="both"/>
        <w:rPr>
          <w:sz w:val="26"/>
          <w:szCs w:val="26"/>
        </w:rPr>
      </w:pPr>
    </w:p>
    <w:p w:rsidR="00885F6A" w:rsidRPr="00BF47EE" w:rsidRDefault="00885F6A" w:rsidP="00885F6A">
      <w:pPr>
        <w:pStyle w:val="9"/>
        <w:spacing w:before="0"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F47EE">
        <w:rPr>
          <w:rFonts w:ascii="Times New Roman" w:hAnsi="Times New Roman" w:cs="Times New Roman"/>
          <w:b/>
          <w:sz w:val="26"/>
          <w:szCs w:val="26"/>
        </w:rPr>
        <w:t>Налог на доходы физических лиц</w:t>
      </w:r>
    </w:p>
    <w:p w:rsidR="00885F6A" w:rsidRPr="00BF47EE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sz w:val="26"/>
          <w:szCs w:val="26"/>
        </w:rPr>
      </w:pPr>
      <w:r w:rsidRPr="00BF47EE">
        <w:rPr>
          <w:sz w:val="26"/>
          <w:szCs w:val="26"/>
        </w:rPr>
        <w:t>Прогноз поступлений в бюджет города налога на доходы физических лиц рассчитан на основе прогноза главн</w:t>
      </w:r>
      <w:r>
        <w:rPr>
          <w:sz w:val="26"/>
          <w:szCs w:val="26"/>
        </w:rPr>
        <w:t>ых</w:t>
      </w:r>
      <w:r w:rsidRPr="00BF47EE">
        <w:rPr>
          <w:sz w:val="26"/>
          <w:szCs w:val="26"/>
        </w:rPr>
        <w:t xml:space="preserve"> администратор</w:t>
      </w:r>
      <w:r>
        <w:rPr>
          <w:sz w:val="26"/>
          <w:szCs w:val="26"/>
        </w:rPr>
        <w:t>ов</w:t>
      </w:r>
      <w:r w:rsidRPr="00BF47EE">
        <w:rPr>
          <w:sz w:val="26"/>
          <w:szCs w:val="26"/>
        </w:rPr>
        <w:t xml:space="preserve"> доходов - Инспекци</w:t>
      </w:r>
      <w:r>
        <w:rPr>
          <w:sz w:val="26"/>
          <w:szCs w:val="26"/>
        </w:rPr>
        <w:t>й</w:t>
      </w:r>
      <w:r w:rsidRPr="00BF47EE">
        <w:rPr>
          <w:sz w:val="26"/>
          <w:szCs w:val="26"/>
        </w:rPr>
        <w:t xml:space="preserve"> Федеральной налоговой службы по городу Новокузнецку. </w:t>
      </w:r>
      <w:r w:rsidRPr="00BF47EE">
        <w:rPr>
          <w:bCs/>
          <w:sz w:val="26"/>
          <w:szCs w:val="26"/>
        </w:rPr>
        <w:t xml:space="preserve">При прогнозировании поступлений в городской бюджет налога на </w:t>
      </w:r>
      <w:r w:rsidRPr="00BF47EE">
        <w:rPr>
          <w:rFonts w:eastAsia="Calibri"/>
          <w:sz w:val="26"/>
          <w:szCs w:val="26"/>
          <w:lang w:eastAsia="en-US"/>
        </w:rPr>
        <w:t>доходы физических лиц</w:t>
      </w:r>
      <w:r w:rsidRPr="00BF47EE">
        <w:rPr>
          <w:bCs/>
          <w:sz w:val="26"/>
          <w:szCs w:val="26"/>
        </w:rPr>
        <w:t xml:space="preserve"> учтен</w:t>
      </w:r>
      <w:r w:rsidR="009044FD">
        <w:rPr>
          <w:bCs/>
          <w:sz w:val="26"/>
          <w:szCs w:val="26"/>
        </w:rPr>
        <w:t>ы</w:t>
      </w:r>
      <w:r w:rsidRPr="00BF47EE">
        <w:rPr>
          <w:bCs/>
          <w:sz w:val="26"/>
          <w:szCs w:val="26"/>
        </w:rPr>
        <w:t>:</w:t>
      </w:r>
    </w:p>
    <w:p w:rsidR="00885F6A" w:rsidRPr="004C105B" w:rsidRDefault="00885F6A" w:rsidP="004C105B">
      <w:pPr>
        <w:pStyle w:val="af1"/>
        <w:numPr>
          <w:ilvl w:val="0"/>
          <w:numId w:val="9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C105B">
        <w:rPr>
          <w:sz w:val="26"/>
          <w:szCs w:val="26"/>
        </w:rPr>
        <w:t>норматив отчислений в местный бюджет, предусмотренный пунктом 2 статьи 61.2 Бюджетного кодекса Российской Федерации в размере 15%;</w:t>
      </w:r>
    </w:p>
    <w:p w:rsidR="00885F6A" w:rsidRPr="004C105B" w:rsidRDefault="00885F6A" w:rsidP="004C105B">
      <w:pPr>
        <w:pStyle w:val="af1"/>
        <w:numPr>
          <w:ilvl w:val="0"/>
          <w:numId w:val="9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proofErr w:type="gramStart"/>
      <w:r w:rsidRPr="004C105B">
        <w:rPr>
          <w:sz w:val="26"/>
          <w:szCs w:val="26"/>
        </w:rPr>
        <w:t xml:space="preserve">дополнительный норматив по налогу на доходы физических лиц, заменяющий часть дотации на выравнивание бюджетной </w:t>
      </w:r>
      <w:r w:rsidRPr="009044FD">
        <w:rPr>
          <w:sz w:val="26"/>
          <w:szCs w:val="26"/>
        </w:rPr>
        <w:t>обеспеченности, на 2020 год в размере 14,52 %, на 2021 год в размере 14,55%, на 2022 год в размере 14,63% в соответствии с приложением № 2 к проекту Закона Кемеровской области - Кузбасса «Об областном</w:t>
      </w:r>
      <w:r w:rsidRPr="004C105B">
        <w:rPr>
          <w:sz w:val="26"/>
          <w:szCs w:val="26"/>
        </w:rPr>
        <w:t xml:space="preserve"> бюджете на 2020 год и плановый период 2021 и 2022 годов»;</w:t>
      </w:r>
      <w:proofErr w:type="gramEnd"/>
    </w:p>
    <w:p w:rsidR="00885F6A" w:rsidRPr="004C105B" w:rsidRDefault="00885F6A" w:rsidP="004C105B">
      <w:pPr>
        <w:pStyle w:val="af1"/>
        <w:numPr>
          <w:ilvl w:val="0"/>
          <w:numId w:val="9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C105B">
        <w:rPr>
          <w:rFonts w:eastAsiaTheme="minorHAnsi"/>
          <w:color w:val="000000"/>
          <w:sz w:val="26"/>
          <w:szCs w:val="26"/>
          <w:lang w:eastAsia="en-US"/>
        </w:rPr>
        <w:t>оценка поступлений налога в 2019 году</w:t>
      </w:r>
      <w:r w:rsidRPr="004C105B">
        <w:rPr>
          <w:sz w:val="26"/>
          <w:szCs w:val="26"/>
        </w:rPr>
        <w:t>, динамика фактического поступления разовых платежей.</w:t>
      </w:r>
    </w:p>
    <w:p w:rsidR="00885F6A" w:rsidRPr="00BF47EE" w:rsidRDefault="00885F6A" w:rsidP="00885F6A">
      <w:pPr>
        <w:spacing w:line="276" w:lineRule="auto"/>
        <w:ind w:firstLine="709"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Поступление налога на доходы физических лиц, подлежащего зачислению в бюджет городского округа, на 2020 год прогнозируется в сумме 3 896 640,0 тыс. рублей, на 2021 год в сумме 3 924 240,0 тыс. рублей, на 2022 год в сумме 3 955 605,0 тыс. рублей</w:t>
      </w:r>
      <w:proofErr w:type="gramStart"/>
      <w:r w:rsidRPr="00BF47EE">
        <w:rPr>
          <w:sz w:val="26"/>
          <w:szCs w:val="26"/>
        </w:rPr>
        <w:t xml:space="preserve">., </w:t>
      </w:r>
      <w:proofErr w:type="gramEnd"/>
      <w:r w:rsidRPr="00BF47EE">
        <w:rPr>
          <w:sz w:val="26"/>
          <w:szCs w:val="26"/>
        </w:rPr>
        <w:t>в том числе:</w:t>
      </w:r>
    </w:p>
    <w:p w:rsidR="00885F6A" w:rsidRPr="00BF47EE" w:rsidRDefault="00885F6A" w:rsidP="00885F6A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BF47EE">
        <w:rPr>
          <w:sz w:val="26"/>
          <w:szCs w:val="26"/>
        </w:rPr>
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</w:t>
      </w:r>
      <w:r w:rsidRPr="00BF47EE">
        <w:rPr>
          <w:sz w:val="26"/>
          <w:szCs w:val="26"/>
        </w:rPr>
        <w:lastRenderedPageBreak/>
        <w:t>уплата налога осуществляются в соответствии со статьями 227, 227.1 и 228 Налогового кодекса Российской Федерации составит в 2020 году сумму 3 810 135,0 тыс. руб., в 2021 году сумму 3 837 122,0 тыс.</w:t>
      </w:r>
      <w:r w:rsidR="009044FD">
        <w:rPr>
          <w:sz w:val="26"/>
          <w:szCs w:val="26"/>
        </w:rPr>
        <w:t xml:space="preserve"> </w:t>
      </w:r>
      <w:r w:rsidRPr="00BF47EE">
        <w:rPr>
          <w:sz w:val="26"/>
          <w:szCs w:val="26"/>
        </w:rPr>
        <w:t>руб., в 2022 году сумму 3 867</w:t>
      </w:r>
      <w:proofErr w:type="gramEnd"/>
      <w:r w:rsidRPr="00BF47EE">
        <w:rPr>
          <w:sz w:val="26"/>
          <w:szCs w:val="26"/>
        </w:rPr>
        <w:t> 791,0 тыс. руб.;</w:t>
      </w:r>
    </w:p>
    <w:p w:rsidR="00885F6A" w:rsidRPr="00BF47EE" w:rsidRDefault="00885F6A" w:rsidP="00885F6A">
      <w:pPr>
        <w:spacing w:line="276" w:lineRule="auto"/>
        <w:ind w:firstLine="709"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Федерации, рассчитан на основании ожидаемого поступления на 2019 год. В 2020 году поступления составят 21 821,0 тыс. руб., в 2021 году сумму 21 976,0 тыс</w:t>
      </w:r>
      <w:proofErr w:type="gramStart"/>
      <w:r w:rsidRPr="00BF47EE">
        <w:rPr>
          <w:sz w:val="26"/>
          <w:szCs w:val="26"/>
        </w:rPr>
        <w:t>.р</w:t>
      </w:r>
      <w:proofErr w:type="gramEnd"/>
      <w:r w:rsidRPr="00BF47EE">
        <w:rPr>
          <w:sz w:val="26"/>
          <w:szCs w:val="26"/>
        </w:rPr>
        <w:t>уб., в 2022 году сумму 22 151,0 тыс. руб.;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 xml:space="preserve">налог на доходы физических лиц с доходов, полученных физическими лицами в соответствии со </w:t>
      </w:r>
      <w:hyperlink r:id="rId8" w:history="1">
        <w:r w:rsidRPr="00BF47EE">
          <w:rPr>
            <w:sz w:val="26"/>
            <w:szCs w:val="26"/>
          </w:rPr>
          <w:t>статьей 228</w:t>
        </w:r>
      </w:hyperlink>
      <w:r w:rsidRPr="00BF47EE">
        <w:rPr>
          <w:sz w:val="26"/>
          <w:szCs w:val="26"/>
        </w:rPr>
        <w:t xml:space="preserve"> Налогового кодекса Российской Федерации, рассчитан на основании ожидаемого поступления на 2019 год. В 2020 году поступления составят 58 450,0 тыс. руб.,  в 2021 году сумму 58 863,0 тыс</w:t>
      </w:r>
      <w:proofErr w:type="gramStart"/>
      <w:r w:rsidRPr="00BF47EE">
        <w:rPr>
          <w:sz w:val="26"/>
          <w:szCs w:val="26"/>
        </w:rPr>
        <w:t>.р</w:t>
      </w:r>
      <w:proofErr w:type="gramEnd"/>
      <w:r w:rsidRPr="00BF47EE">
        <w:rPr>
          <w:sz w:val="26"/>
          <w:szCs w:val="26"/>
        </w:rPr>
        <w:t>уб., в 2022 году сумму 59 334,0 тыс. руб.;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Федерации, рассчитан на основании ожидаемого поступления на 2019 год. В 2020 году поступления составят 6 234,0 тыс. руб., в 2021 году 6 279,0 тыс. руб., в 2022 году 6 329,0 тыс. руб.</w:t>
      </w:r>
    </w:p>
    <w:p w:rsidR="00885F6A" w:rsidRPr="00BF47EE" w:rsidRDefault="00885F6A" w:rsidP="00885F6A">
      <w:pPr>
        <w:spacing w:line="276" w:lineRule="auto"/>
        <w:ind w:firstLine="709"/>
        <w:jc w:val="both"/>
        <w:rPr>
          <w:sz w:val="26"/>
          <w:szCs w:val="26"/>
          <w:highlight w:val="yellow"/>
        </w:rPr>
      </w:pPr>
    </w:p>
    <w:p w:rsidR="00885F6A" w:rsidRPr="00BF47EE" w:rsidRDefault="00885F6A" w:rsidP="00885F6A">
      <w:pPr>
        <w:pStyle w:val="ConsPlusNonformat"/>
        <w:spacing w:line="276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BF47EE">
        <w:rPr>
          <w:rFonts w:ascii="Times New Roman" w:hAnsi="Times New Roman" w:cs="Times New Roman"/>
          <w:b/>
          <w:bCs/>
          <w:color w:val="000000"/>
          <w:sz w:val="26"/>
          <w:szCs w:val="26"/>
        </w:rPr>
        <w:t>Акцизы</w:t>
      </w:r>
    </w:p>
    <w:p w:rsidR="00885F6A" w:rsidRPr="00BF47EE" w:rsidRDefault="00885F6A" w:rsidP="00885F6A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 xml:space="preserve">Прогноз поступлений от акцизов на автомобильный и прямогонный бензин, дизельное топливо, моторные масла для дизельных и (или) карбюраторных (инжекторных) двигателей на 2020 год и на плановый период 2021 и 2022 годов </w:t>
      </w:r>
      <w:r w:rsidR="009044FD">
        <w:rPr>
          <w:sz w:val="26"/>
          <w:szCs w:val="26"/>
        </w:rPr>
        <w:t>рассчитан</w:t>
      </w:r>
      <w:r w:rsidRPr="00BF47EE">
        <w:rPr>
          <w:sz w:val="26"/>
          <w:szCs w:val="26"/>
        </w:rPr>
        <w:t xml:space="preserve"> главным администратором дохода – Управлением Федерального </w:t>
      </w:r>
      <w:proofErr w:type="spellStart"/>
      <w:r w:rsidRPr="00BF47EE">
        <w:rPr>
          <w:sz w:val="26"/>
          <w:szCs w:val="26"/>
        </w:rPr>
        <w:t>казначейста</w:t>
      </w:r>
      <w:proofErr w:type="spellEnd"/>
      <w:r w:rsidRPr="00BF47EE">
        <w:rPr>
          <w:sz w:val="26"/>
          <w:szCs w:val="26"/>
        </w:rPr>
        <w:t xml:space="preserve"> по Кемеровской области. При формировании прогноза поступлений учтено следующее:</w:t>
      </w:r>
    </w:p>
    <w:p w:rsidR="00885F6A" w:rsidRPr="004C105B" w:rsidRDefault="00885F6A" w:rsidP="004C105B">
      <w:pPr>
        <w:pStyle w:val="af1"/>
        <w:numPr>
          <w:ilvl w:val="0"/>
          <w:numId w:val="10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C105B">
        <w:rPr>
          <w:sz w:val="26"/>
          <w:szCs w:val="26"/>
        </w:rPr>
        <w:t>индексация ставок акцизов на нефтепродукты в соответствии с Федеральным законом от 29.09.2019</w:t>
      </w:r>
      <w:r w:rsidR="000D3F1A">
        <w:rPr>
          <w:sz w:val="26"/>
          <w:szCs w:val="26"/>
        </w:rPr>
        <w:t>г.</w:t>
      </w:r>
      <w:r w:rsidRPr="004C105B">
        <w:rPr>
          <w:sz w:val="26"/>
          <w:szCs w:val="26"/>
        </w:rPr>
        <w:t xml:space="preserve"> № 326-ФЗ «О внесении изменений в часть вторую Налогового кодекса Российской Федерации и статью 1 Федерального закона «О внесении изменений в часть вторую Налогового кодекса Российской Федерации»;</w:t>
      </w:r>
    </w:p>
    <w:p w:rsidR="00885F6A" w:rsidRPr="004C105B" w:rsidRDefault="00885F6A" w:rsidP="004C105B">
      <w:pPr>
        <w:pStyle w:val="af1"/>
        <w:numPr>
          <w:ilvl w:val="0"/>
          <w:numId w:val="10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C105B">
        <w:rPr>
          <w:sz w:val="26"/>
          <w:szCs w:val="26"/>
        </w:rPr>
        <w:t>установленные нормативы зачисления доходов от уплаты акцизов на нефтепродукты в бюджеты субъектов Российской Федерации в соответствии с Федеральным законом от 28.11.2018</w:t>
      </w:r>
      <w:r w:rsidR="000D3F1A">
        <w:rPr>
          <w:sz w:val="26"/>
          <w:szCs w:val="26"/>
        </w:rPr>
        <w:t>г.</w:t>
      </w:r>
      <w:r w:rsidRPr="004C105B">
        <w:rPr>
          <w:sz w:val="26"/>
          <w:szCs w:val="26"/>
        </w:rPr>
        <w:t xml:space="preserve"> № 456-ФЗ «О внесении изменений в Бюджетный кодекс Российской Федерации и отдельные законодательные акты Российской Федерации»: 2020 год – 66,6%, 2021 год – 74,9%, 2022 год – 83,3%;</w:t>
      </w:r>
    </w:p>
    <w:p w:rsidR="00885F6A" w:rsidRPr="004C105B" w:rsidRDefault="00885F6A" w:rsidP="004C105B">
      <w:pPr>
        <w:pStyle w:val="af1"/>
        <w:numPr>
          <w:ilvl w:val="0"/>
          <w:numId w:val="10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C105B">
        <w:rPr>
          <w:sz w:val="26"/>
          <w:szCs w:val="26"/>
        </w:rPr>
        <w:t>дифференцированный норматив отчислений в местный бюджет в размере 0,6967% ежегодно.</w:t>
      </w:r>
    </w:p>
    <w:p w:rsidR="00885F6A" w:rsidRPr="00BF47EE" w:rsidRDefault="00885F6A" w:rsidP="00885F6A">
      <w:pPr>
        <w:tabs>
          <w:tab w:val="left" w:pos="851"/>
        </w:tabs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BF47EE">
        <w:rPr>
          <w:sz w:val="26"/>
          <w:szCs w:val="26"/>
        </w:rPr>
        <w:lastRenderedPageBreak/>
        <w:t>Поступление в бюджет города от акцизов на автомобильный и прямогонный бензин, дизельное топливо, моторные масла для дизельных и (или) карбюраторных (инжекторных) двигателей прогнозируется на 2020 год в сумме 46 927,9 тыс. руб. на 2021 и 2022 годы в сумме 67 201,6 тыс. руб ежегодно. Ожидаемое поступление за 2019 год планируется в сумме 39 600,0 тыс. руб.</w:t>
      </w:r>
    </w:p>
    <w:p w:rsidR="00885F6A" w:rsidRPr="00BF47EE" w:rsidRDefault="00885F6A" w:rsidP="00885F6A">
      <w:pPr>
        <w:spacing w:line="276" w:lineRule="auto"/>
        <w:jc w:val="center"/>
        <w:rPr>
          <w:b/>
          <w:sz w:val="26"/>
          <w:szCs w:val="26"/>
        </w:rPr>
      </w:pPr>
    </w:p>
    <w:p w:rsidR="00885F6A" w:rsidRPr="00BF47EE" w:rsidRDefault="00885F6A" w:rsidP="00885F6A">
      <w:pPr>
        <w:snapToGrid w:val="0"/>
        <w:spacing w:line="276" w:lineRule="auto"/>
        <w:jc w:val="center"/>
        <w:rPr>
          <w:b/>
          <w:sz w:val="26"/>
          <w:szCs w:val="26"/>
        </w:rPr>
      </w:pPr>
      <w:r w:rsidRPr="00BF47EE">
        <w:rPr>
          <w:b/>
          <w:sz w:val="26"/>
          <w:szCs w:val="26"/>
        </w:rPr>
        <w:t>Налоги на совокупный доход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В данную подгруппу доходов входят следующие виды налогов:</w:t>
      </w:r>
    </w:p>
    <w:p w:rsidR="00885F6A" w:rsidRPr="00BF47EE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BF47EE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1) налог, взимаемый в связи с применением упрощенной системы налогообложения; </w:t>
      </w:r>
    </w:p>
    <w:p w:rsidR="00885F6A" w:rsidRPr="00BF47EE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BF47EE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2) единый налог на вмененный доход для отдельных видов деятельности; </w:t>
      </w:r>
    </w:p>
    <w:p w:rsidR="00885F6A" w:rsidRPr="00BF47EE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BF47EE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3) единый сельскохозяйственный налог; </w:t>
      </w:r>
    </w:p>
    <w:p w:rsidR="00885F6A" w:rsidRPr="00BF47EE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BF47EE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4) налог, взимаемый в связи с применением патентной системы налогообложения. 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 xml:space="preserve">Прогноз поступлений по данной подгруппе на 2020 год и на плановый период 2021 и 2022 годов </w:t>
      </w:r>
      <w:r w:rsidR="009044FD">
        <w:rPr>
          <w:sz w:val="26"/>
          <w:szCs w:val="26"/>
        </w:rPr>
        <w:t>осуществлен</w:t>
      </w:r>
      <w:r w:rsidRPr="00BF47EE">
        <w:rPr>
          <w:sz w:val="26"/>
          <w:szCs w:val="26"/>
        </w:rPr>
        <w:t xml:space="preserve"> главными администраторами доходов – Инспекциями Федеральной налоговой службы по городу Новокузнецку. </w:t>
      </w:r>
      <w:r w:rsidRPr="00BF47EE">
        <w:rPr>
          <w:rFonts w:eastAsiaTheme="minorHAnsi"/>
          <w:color w:val="000000"/>
          <w:sz w:val="26"/>
          <w:szCs w:val="26"/>
          <w:lang w:eastAsia="en-US"/>
        </w:rPr>
        <w:t xml:space="preserve">Расчеты составлены исходя из динамики фактических поступлений, ожидаемых поступлений за 2019 год. </w:t>
      </w:r>
    </w:p>
    <w:p w:rsidR="00885F6A" w:rsidRPr="00BF47EE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BF47EE">
        <w:rPr>
          <w:sz w:val="26"/>
          <w:szCs w:val="26"/>
        </w:rPr>
        <w:t xml:space="preserve">1) Прогноз поступлений </w:t>
      </w:r>
      <w:r w:rsidRPr="00BF47EE">
        <w:rPr>
          <w:b/>
          <w:sz w:val="26"/>
          <w:szCs w:val="26"/>
        </w:rPr>
        <w:t>по налогу, взимаемому в связи с применением упрощенной системы налогообложения</w:t>
      </w:r>
      <w:r w:rsidRPr="00BF47EE">
        <w:rPr>
          <w:sz w:val="26"/>
          <w:szCs w:val="26"/>
        </w:rPr>
        <w:t xml:space="preserve"> рассчитан в сумме на 2020 год 437 000,0 тыс. руб., при ожидаемом поступлении за 2019 год в сумме 440 000,0 тыс. руб. На 2021 год в сумме 495 000,0 тыс. руб. на 2022 год в сумме 498 000,0 тыс. руб.</w:t>
      </w:r>
      <w:proofErr w:type="gramEnd"/>
    </w:p>
    <w:p w:rsidR="00885F6A" w:rsidRPr="00BF47EE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 xml:space="preserve">2) Прогноз поступлений </w:t>
      </w:r>
      <w:r w:rsidRPr="00BF47EE">
        <w:rPr>
          <w:b/>
          <w:sz w:val="26"/>
          <w:szCs w:val="26"/>
        </w:rPr>
        <w:t>по единому налогу на вменённый доход</w:t>
      </w:r>
      <w:r w:rsidRPr="00BF47EE">
        <w:rPr>
          <w:sz w:val="26"/>
          <w:szCs w:val="26"/>
        </w:rPr>
        <w:t xml:space="preserve"> рассчитан в сумме на 2020 год 299 000,0 тыс. руб., при ожидаемом поступлении за 2019 год в сумме 330 000,0 тыс. руб. </w:t>
      </w:r>
    </w:p>
    <w:p w:rsidR="00885F6A" w:rsidRPr="00BF47EE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На территории Новокузнецкого городского округа единый налог на вмененный доход, действует в соответствии с постановлением Новокузнецкого городского Совета народных депутатов от 25.11.2009</w:t>
      </w:r>
      <w:r w:rsidR="00BC0526">
        <w:rPr>
          <w:sz w:val="26"/>
          <w:szCs w:val="26"/>
        </w:rPr>
        <w:t>г.</w:t>
      </w:r>
      <w:r w:rsidRPr="00BF47EE">
        <w:rPr>
          <w:sz w:val="26"/>
          <w:szCs w:val="26"/>
        </w:rPr>
        <w:t xml:space="preserve"> № 11/109 «О системе налогообложения в виде единого налога на вмененный доход для отдельных видов деятельности на территории </w:t>
      </w:r>
      <w:proofErr w:type="gramStart"/>
      <w:r w:rsidRPr="00BF47EE">
        <w:rPr>
          <w:sz w:val="26"/>
          <w:szCs w:val="26"/>
        </w:rPr>
        <w:t>г</w:t>
      </w:r>
      <w:proofErr w:type="gramEnd"/>
      <w:r w:rsidRPr="00BF47EE">
        <w:rPr>
          <w:sz w:val="26"/>
          <w:szCs w:val="26"/>
        </w:rPr>
        <w:t>. Новокузнецка» (в редакции от 27.11.2018</w:t>
      </w:r>
      <w:r w:rsidR="00BC0526">
        <w:rPr>
          <w:sz w:val="26"/>
          <w:szCs w:val="26"/>
        </w:rPr>
        <w:t>г.</w:t>
      </w:r>
      <w:r w:rsidRPr="00BF47EE">
        <w:rPr>
          <w:sz w:val="26"/>
          <w:szCs w:val="26"/>
        </w:rPr>
        <w:t xml:space="preserve"> </w:t>
      </w:r>
      <w:hyperlink r:id="rId9" w:history="1">
        <w:r w:rsidRPr="00BF47EE">
          <w:rPr>
            <w:sz w:val="26"/>
            <w:szCs w:val="26"/>
          </w:rPr>
          <w:t>№ 15/129</w:t>
        </w:r>
      </w:hyperlink>
      <w:r w:rsidRPr="00BF47EE">
        <w:rPr>
          <w:sz w:val="26"/>
          <w:szCs w:val="26"/>
        </w:rPr>
        <w:t>).</w:t>
      </w:r>
    </w:p>
    <w:p w:rsidR="00885F6A" w:rsidRPr="00BF47EE" w:rsidRDefault="00885F6A" w:rsidP="00885F6A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proofErr w:type="gramStart"/>
      <w:r w:rsidRPr="00BF47EE">
        <w:rPr>
          <w:sz w:val="26"/>
          <w:szCs w:val="26"/>
        </w:rPr>
        <w:t>В соответствии с федеральным законодательством с 2021 года на территории Российской Федерации будет отмен</w:t>
      </w:r>
      <w:r>
        <w:rPr>
          <w:sz w:val="26"/>
          <w:szCs w:val="26"/>
        </w:rPr>
        <w:t>ена</w:t>
      </w:r>
      <w:r w:rsidRPr="00BF47EE">
        <w:rPr>
          <w:sz w:val="26"/>
          <w:szCs w:val="26"/>
        </w:rPr>
        <w:t xml:space="preserve"> система налогообложения в виде единого налога на вмененный доход для отдельных видов деятельности (норматив отчислений в местный бюджет 100%), что повлечет за собой переход налогоплательщиков на другие режимы налогообложения, в том числе на патентную (норматив отчислений в местный бюджет 100%) и упрощенную систему налогообложения (норматив отчислений</w:t>
      </w:r>
      <w:proofErr w:type="gramEnd"/>
      <w:r w:rsidRPr="00BF47EE">
        <w:rPr>
          <w:sz w:val="26"/>
          <w:szCs w:val="26"/>
        </w:rPr>
        <w:t xml:space="preserve"> </w:t>
      </w:r>
      <w:proofErr w:type="gramStart"/>
      <w:r w:rsidRPr="00BF47EE">
        <w:rPr>
          <w:sz w:val="26"/>
          <w:szCs w:val="26"/>
        </w:rPr>
        <w:t>переданный</w:t>
      </w:r>
      <w:proofErr w:type="gramEnd"/>
      <w:r w:rsidRPr="00BF47EE">
        <w:rPr>
          <w:sz w:val="26"/>
          <w:szCs w:val="26"/>
        </w:rPr>
        <w:t xml:space="preserve"> из областного бюджета с 01.01.2018 года составляет 30%). </w:t>
      </w:r>
    </w:p>
    <w:p w:rsidR="00885F6A" w:rsidRPr="00BF47EE" w:rsidRDefault="00885F6A" w:rsidP="00885F6A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Кроме того, с 1 января 2020 года налогоплательщики, реализующие  лекарственные препараты, обувные товары и предметы одежды, принадлежности к одежде и прочие изделия из натурального меха, подлежащие обязательной маркировке средствами идентификации, не вправе применять единый налог на вмененный доход и патентную систему налогообложения. Данные изменения дополнительно приведут к снижению поступлений.</w:t>
      </w:r>
    </w:p>
    <w:p w:rsidR="00885F6A" w:rsidRPr="00BF47EE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lastRenderedPageBreak/>
        <w:t xml:space="preserve">3) Прогноз поступлений </w:t>
      </w:r>
      <w:r w:rsidRPr="00BF47EE">
        <w:rPr>
          <w:b/>
          <w:sz w:val="26"/>
          <w:szCs w:val="26"/>
        </w:rPr>
        <w:t>единого сельскохозяйственного налога</w:t>
      </w:r>
      <w:r w:rsidRPr="00BF47EE">
        <w:rPr>
          <w:sz w:val="26"/>
          <w:szCs w:val="26"/>
        </w:rPr>
        <w:t xml:space="preserve"> рассчитан в сумме на 2020 год 143 тыс. руб. при ожидаемом поступлении за текущий год в сумме 133,0 тыс.</w:t>
      </w:r>
      <w:r w:rsidR="00BC0526">
        <w:rPr>
          <w:sz w:val="26"/>
          <w:szCs w:val="26"/>
        </w:rPr>
        <w:t xml:space="preserve"> </w:t>
      </w:r>
      <w:r w:rsidRPr="00BF47EE">
        <w:rPr>
          <w:sz w:val="26"/>
          <w:szCs w:val="26"/>
        </w:rPr>
        <w:t xml:space="preserve">руб. 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Прогнозируемая сумма единого сельскохозяйственного налога в 2021-2022 годах составит 183,0 тыс. руб. и 213,0 соответственно.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BF47EE">
        <w:rPr>
          <w:sz w:val="26"/>
          <w:szCs w:val="26"/>
        </w:rPr>
        <w:t xml:space="preserve">4) Прогноз поступлений </w:t>
      </w:r>
      <w:r w:rsidRPr="00BF47EE">
        <w:rPr>
          <w:b/>
          <w:sz w:val="26"/>
          <w:szCs w:val="26"/>
        </w:rPr>
        <w:t>по налогу, взимаемому в связи с применением патентной системы налогообложения</w:t>
      </w:r>
      <w:r w:rsidRPr="00BF47EE">
        <w:rPr>
          <w:sz w:val="26"/>
          <w:szCs w:val="26"/>
        </w:rPr>
        <w:t xml:space="preserve">, </w:t>
      </w:r>
      <w:proofErr w:type="spellStart"/>
      <w:r w:rsidRPr="00BF47EE">
        <w:rPr>
          <w:sz w:val="26"/>
          <w:szCs w:val="26"/>
        </w:rPr>
        <w:t>расч</w:t>
      </w:r>
      <w:r w:rsidR="00BC0526">
        <w:rPr>
          <w:sz w:val="26"/>
          <w:szCs w:val="26"/>
        </w:rPr>
        <w:t>итан</w:t>
      </w:r>
      <w:proofErr w:type="spellEnd"/>
      <w:r w:rsidR="00BC0526">
        <w:rPr>
          <w:sz w:val="26"/>
          <w:szCs w:val="26"/>
        </w:rPr>
        <w:t xml:space="preserve"> в сумме 13 000,0 тыс. руб. </w:t>
      </w:r>
      <w:r w:rsidRPr="00BF47EE">
        <w:rPr>
          <w:sz w:val="26"/>
          <w:szCs w:val="26"/>
        </w:rPr>
        <w:t xml:space="preserve">при ожидаемом поступлении за 2019 год в сумме 11 800,0 тыс. руб. Поступление по налогу на 2021 год составит в сумме 23 000,0 тыс. руб. на 2022 год в сумме 23 500,0 тыс. руб. </w:t>
      </w:r>
      <w:proofErr w:type="gramEnd"/>
    </w:p>
    <w:p w:rsidR="00885F6A" w:rsidRPr="00BF47EE" w:rsidRDefault="00885F6A" w:rsidP="00885F6A">
      <w:pPr>
        <w:pStyle w:val="a8"/>
        <w:spacing w:after="0" w:line="276" w:lineRule="auto"/>
        <w:ind w:left="0" w:firstLine="709"/>
        <w:contextualSpacing/>
        <w:jc w:val="center"/>
        <w:rPr>
          <w:rFonts w:ascii="Times New Roman" w:hAnsi="Times New Roman" w:cs="Times New Roman"/>
          <w:b/>
          <w:color w:val="000000"/>
          <w:sz w:val="26"/>
          <w:szCs w:val="26"/>
          <w:highlight w:val="yellow"/>
        </w:rPr>
      </w:pPr>
    </w:p>
    <w:p w:rsidR="00885F6A" w:rsidRPr="00BF47EE" w:rsidRDefault="00885F6A" w:rsidP="008B6F27">
      <w:pPr>
        <w:pStyle w:val="a8"/>
        <w:spacing w:after="0" w:line="276" w:lineRule="auto"/>
        <w:ind w:left="0"/>
        <w:contextualSpacing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BF47EE">
        <w:rPr>
          <w:rFonts w:ascii="Times New Roman" w:hAnsi="Times New Roman" w:cs="Times New Roman"/>
          <w:b/>
          <w:color w:val="000000"/>
          <w:sz w:val="26"/>
          <w:szCs w:val="26"/>
        </w:rPr>
        <w:t>Налог на имущество физических лиц</w:t>
      </w:r>
    </w:p>
    <w:p w:rsidR="00885F6A" w:rsidRPr="00BF47EE" w:rsidRDefault="00885F6A" w:rsidP="00885F6A">
      <w:pPr>
        <w:pStyle w:val="af0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567"/>
        <w:jc w:val="both"/>
        <w:textAlignment w:val="baseline"/>
        <w:rPr>
          <w:sz w:val="26"/>
          <w:szCs w:val="26"/>
        </w:rPr>
      </w:pPr>
      <w:r w:rsidRPr="00BF47EE">
        <w:rPr>
          <w:sz w:val="26"/>
          <w:szCs w:val="26"/>
        </w:rPr>
        <w:t xml:space="preserve">Прогноз поступлений </w:t>
      </w:r>
      <w:r w:rsidRPr="00BF47EE">
        <w:rPr>
          <w:color w:val="000000" w:themeColor="text1"/>
          <w:sz w:val="26"/>
          <w:szCs w:val="26"/>
        </w:rPr>
        <w:t>налога на имущество физических лиц</w:t>
      </w:r>
      <w:r w:rsidRPr="00BF47EE">
        <w:rPr>
          <w:sz w:val="26"/>
          <w:szCs w:val="26"/>
        </w:rPr>
        <w:t xml:space="preserve"> составлен с учетом прогноза главных администраторов дохода - </w:t>
      </w:r>
      <w:r w:rsidRPr="00BF47EE">
        <w:rPr>
          <w:color w:val="000000" w:themeColor="text1"/>
          <w:sz w:val="26"/>
          <w:szCs w:val="26"/>
        </w:rPr>
        <w:t xml:space="preserve">Инспекций Федеральной налоговой службы по городу Новокузнецку: на 2020 год в размере 109 000,0 тыс. руб.,  на </w:t>
      </w:r>
      <w:r w:rsidRPr="00BF47EE">
        <w:rPr>
          <w:sz w:val="26"/>
          <w:szCs w:val="26"/>
        </w:rPr>
        <w:t>2020 и 2021 годы планируются в объемах 112 000,0 тыс</w:t>
      </w:r>
      <w:proofErr w:type="gramStart"/>
      <w:r w:rsidRPr="00BF47EE">
        <w:rPr>
          <w:sz w:val="26"/>
          <w:szCs w:val="26"/>
        </w:rPr>
        <w:t>.р</w:t>
      </w:r>
      <w:proofErr w:type="gramEnd"/>
      <w:r w:rsidRPr="00BF47EE">
        <w:rPr>
          <w:sz w:val="26"/>
          <w:szCs w:val="26"/>
        </w:rPr>
        <w:t>уб. и 114 000,0 тыс.руб., соответственно.</w:t>
      </w:r>
    </w:p>
    <w:p w:rsidR="00885F6A" w:rsidRPr="00BF47EE" w:rsidRDefault="00885F6A" w:rsidP="00885F6A">
      <w:pPr>
        <w:pStyle w:val="af0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567"/>
        <w:jc w:val="both"/>
        <w:textAlignment w:val="baseline"/>
        <w:rPr>
          <w:sz w:val="26"/>
          <w:szCs w:val="26"/>
        </w:rPr>
      </w:pPr>
      <w:r w:rsidRPr="00BF47EE">
        <w:rPr>
          <w:color w:val="000000"/>
          <w:sz w:val="26"/>
          <w:szCs w:val="26"/>
        </w:rPr>
        <w:t>Ожидаемое поступление в текущем году налога на имущество физических лиц, составит 105 683,0 тыс. руб.</w:t>
      </w:r>
    </w:p>
    <w:p w:rsidR="00885F6A" w:rsidRPr="00BF47EE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r w:rsidRPr="00BF47EE">
        <w:rPr>
          <w:color w:val="000000" w:themeColor="text1"/>
          <w:sz w:val="26"/>
          <w:szCs w:val="26"/>
        </w:rPr>
        <w:t xml:space="preserve">Налог на имущество физических лиц на территории Новокузнецкого городского округа </w:t>
      </w:r>
      <w:r w:rsidR="00453EE5">
        <w:rPr>
          <w:color w:val="000000" w:themeColor="text1"/>
          <w:sz w:val="26"/>
          <w:szCs w:val="26"/>
        </w:rPr>
        <w:t>установлен</w:t>
      </w:r>
      <w:r w:rsidRPr="00BF47EE">
        <w:rPr>
          <w:color w:val="000000" w:themeColor="text1"/>
          <w:sz w:val="26"/>
          <w:szCs w:val="26"/>
        </w:rPr>
        <w:t xml:space="preserve"> в соответствии с решением Новокузнецкого городского Совета народных депутатов от 25.11.2014</w:t>
      </w:r>
      <w:r w:rsidR="00BC0526">
        <w:rPr>
          <w:color w:val="000000" w:themeColor="text1"/>
          <w:sz w:val="26"/>
          <w:szCs w:val="26"/>
        </w:rPr>
        <w:t>г.</w:t>
      </w:r>
      <w:r w:rsidRPr="00BF47EE">
        <w:rPr>
          <w:color w:val="000000" w:themeColor="text1"/>
          <w:sz w:val="26"/>
          <w:szCs w:val="26"/>
        </w:rPr>
        <w:t xml:space="preserve"> № 15/139  (в редакции от 27.11.2018</w:t>
      </w:r>
      <w:r w:rsidR="00BC0526">
        <w:rPr>
          <w:color w:val="000000" w:themeColor="text1"/>
          <w:sz w:val="26"/>
          <w:szCs w:val="26"/>
        </w:rPr>
        <w:t>г.</w:t>
      </w:r>
      <w:r w:rsidRPr="00BF47EE">
        <w:rPr>
          <w:color w:val="000000" w:themeColor="text1"/>
          <w:sz w:val="26"/>
          <w:szCs w:val="26"/>
        </w:rPr>
        <w:t>).</w:t>
      </w:r>
    </w:p>
    <w:p w:rsidR="00885F6A" w:rsidRPr="00BF47EE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В соответствии с Налоговым Кодексом Российской Федерации предусмотрено поэтапное применение ежегодного коэффициента увеличения на 0,2 с момента применения порядка определения налоговой базы по налогу на имущество физических лиц исходя из кадастровой стоимости объектов налогообложения. Законом Кемеровской области от 23.11.2015</w:t>
      </w:r>
      <w:r w:rsidR="00BC0526">
        <w:rPr>
          <w:sz w:val="26"/>
          <w:szCs w:val="26"/>
        </w:rPr>
        <w:t>г.</w:t>
      </w:r>
      <w:r w:rsidRPr="00BF47EE">
        <w:rPr>
          <w:sz w:val="26"/>
          <w:szCs w:val="26"/>
        </w:rPr>
        <w:t xml:space="preserve"> года № 102-ОЗ установлена единая </w:t>
      </w:r>
      <w:hyperlink r:id="rId10" w:history="1">
        <w:r w:rsidRPr="00BF47EE">
          <w:rPr>
            <w:sz w:val="26"/>
            <w:szCs w:val="26"/>
          </w:rPr>
          <w:t>дата</w:t>
        </w:r>
      </w:hyperlink>
      <w:r w:rsidRPr="00BF47EE">
        <w:rPr>
          <w:sz w:val="26"/>
          <w:szCs w:val="26"/>
        </w:rPr>
        <w:t xml:space="preserve"> начала на территории Кемеровской области - 1 января 2016 года. Начиная с исчисления налога за четвертый налоговый период, в котором налоговая база определяется по кадастровой стоимости (с коэффициентом 0,6), не более чем на 10 процентов по сравнению с предыдущим годом. В 2020 году в Новокузнецком городском округе налог на имущество физических лиц за налоговый период 2019 год будет исчисляться с учётом увеличения не более чем на 10 процентов.</w:t>
      </w:r>
    </w:p>
    <w:p w:rsidR="00885F6A" w:rsidRPr="00BF47EE" w:rsidRDefault="00885F6A" w:rsidP="00885F6A">
      <w:pPr>
        <w:autoSpaceDE w:val="0"/>
        <w:autoSpaceDN w:val="0"/>
        <w:adjustRightInd w:val="0"/>
        <w:spacing w:line="276" w:lineRule="auto"/>
        <w:contextualSpacing/>
        <w:jc w:val="center"/>
        <w:rPr>
          <w:b/>
          <w:color w:val="000000"/>
          <w:sz w:val="26"/>
          <w:szCs w:val="26"/>
        </w:rPr>
      </w:pPr>
      <w:r w:rsidRPr="00BF47EE">
        <w:rPr>
          <w:b/>
          <w:color w:val="000000"/>
          <w:sz w:val="26"/>
          <w:szCs w:val="26"/>
        </w:rPr>
        <w:t>Транспортный налог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 xml:space="preserve">Прогноз поступлений транспортного налога составлен с учетом прогноза главных администраторов дохода - </w:t>
      </w:r>
      <w:r w:rsidRPr="00BF47EE">
        <w:rPr>
          <w:color w:val="000000" w:themeColor="text1"/>
          <w:sz w:val="26"/>
          <w:szCs w:val="26"/>
        </w:rPr>
        <w:t>Инспекций Федеральной налоговой службы по городу Новокузнецку</w:t>
      </w:r>
      <w:r w:rsidRPr="00BF47EE">
        <w:rPr>
          <w:sz w:val="26"/>
          <w:szCs w:val="26"/>
        </w:rPr>
        <w:t>, динамики фактических поступлений налога и ожидаемой оценки за 2019 год.</w:t>
      </w:r>
    </w:p>
    <w:p w:rsidR="00885F6A" w:rsidRPr="00BF47EE" w:rsidRDefault="00885F6A" w:rsidP="00885F6A">
      <w:pPr>
        <w:spacing w:line="276" w:lineRule="auto"/>
        <w:ind w:firstLine="567"/>
        <w:contextualSpacing/>
        <w:jc w:val="both"/>
        <w:rPr>
          <w:color w:val="000000"/>
          <w:sz w:val="26"/>
          <w:szCs w:val="26"/>
        </w:rPr>
      </w:pPr>
      <w:r w:rsidRPr="00BF47EE">
        <w:rPr>
          <w:color w:val="000000"/>
          <w:sz w:val="26"/>
          <w:szCs w:val="26"/>
        </w:rPr>
        <w:t>Ожидаемое поступление в текущем году транспортного налога, составит 25 000,0 тыс. руб., в том числе с физических лиц в сумме 19 250,0 тыс. руб. и с организаций в сумме 5 750,0 тыс. руб.</w:t>
      </w:r>
    </w:p>
    <w:p w:rsidR="00885F6A" w:rsidRPr="00BF47EE" w:rsidRDefault="00885F6A" w:rsidP="00885F6A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Прое</w:t>
      </w:r>
      <w:r>
        <w:rPr>
          <w:sz w:val="26"/>
          <w:szCs w:val="26"/>
        </w:rPr>
        <w:t xml:space="preserve">ктом Закона Кемеровской области – Кузбасса </w:t>
      </w:r>
      <w:r w:rsidRPr="00BF47EE">
        <w:rPr>
          <w:sz w:val="26"/>
          <w:szCs w:val="26"/>
        </w:rPr>
        <w:t xml:space="preserve">«Об областном бюджете на 2020 год и плановый период 2021 и 2022 годов» сохранен действующий в 2019 году </w:t>
      </w:r>
      <w:r w:rsidRPr="00BF47EE">
        <w:rPr>
          <w:sz w:val="26"/>
          <w:szCs w:val="26"/>
        </w:rPr>
        <w:lastRenderedPageBreak/>
        <w:t>норматив отчислений в бюджет Новокузнецкого городского округа в размере 5%</w:t>
      </w:r>
      <w:r w:rsidRPr="00BF47EE">
        <w:rPr>
          <w:color w:val="000000"/>
          <w:sz w:val="26"/>
          <w:szCs w:val="26"/>
        </w:rPr>
        <w:t xml:space="preserve"> </w:t>
      </w:r>
      <w:r w:rsidR="00486460">
        <w:rPr>
          <w:color w:val="000000"/>
          <w:sz w:val="26"/>
          <w:szCs w:val="26"/>
        </w:rPr>
        <w:t>от платежей</w:t>
      </w:r>
      <w:r w:rsidRPr="00BF47EE">
        <w:rPr>
          <w:color w:val="000000"/>
          <w:sz w:val="26"/>
          <w:szCs w:val="26"/>
        </w:rPr>
        <w:t>, поступающ</w:t>
      </w:r>
      <w:r w:rsidR="00486460">
        <w:rPr>
          <w:color w:val="000000"/>
          <w:sz w:val="26"/>
          <w:szCs w:val="26"/>
        </w:rPr>
        <w:t>их</w:t>
      </w:r>
      <w:r w:rsidRPr="00BF47EE">
        <w:rPr>
          <w:color w:val="000000"/>
          <w:sz w:val="26"/>
          <w:szCs w:val="26"/>
        </w:rPr>
        <w:t xml:space="preserve"> в бюджет субъекта Российской Федерации.</w:t>
      </w:r>
    </w:p>
    <w:p w:rsidR="00885F6A" w:rsidRPr="00BF47EE" w:rsidRDefault="00885F6A" w:rsidP="00885F6A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BF47EE">
        <w:rPr>
          <w:sz w:val="26"/>
          <w:szCs w:val="26"/>
        </w:rPr>
        <w:t xml:space="preserve">Поступление транспортного налога в бюджет прогнозируется на 2020 год в сумме 25 500,0 тыс. руб., в том числе транспортного налога с организаций </w:t>
      </w:r>
      <w:r w:rsidR="00486460" w:rsidRPr="00BF47EE">
        <w:rPr>
          <w:sz w:val="26"/>
          <w:szCs w:val="26"/>
        </w:rPr>
        <w:t>в сумме</w:t>
      </w:r>
      <w:r w:rsidRPr="00BF47EE">
        <w:rPr>
          <w:sz w:val="26"/>
          <w:szCs w:val="26"/>
        </w:rPr>
        <w:t xml:space="preserve"> 5 100,0 тыс. руб. и транспортного налога с физических лиц </w:t>
      </w:r>
      <w:r w:rsidR="00486460" w:rsidRPr="00BF47EE">
        <w:rPr>
          <w:sz w:val="26"/>
          <w:szCs w:val="26"/>
        </w:rPr>
        <w:t>в сумме</w:t>
      </w:r>
      <w:r w:rsidRPr="00BF47EE">
        <w:rPr>
          <w:sz w:val="26"/>
          <w:szCs w:val="26"/>
        </w:rPr>
        <w:t xml:space="preserve"> 20 400,0 тыс. руб.</w:t>
      </w:r>
    </w:p>
    <w:p w:rsidR="00885F6A" w:rsidRPr="00BF47EE" w:rsidRDefault="00885F6A" w:rsidP="00885F6A">
      <w:pPr>
        <w:spacing w:line="276" w:lineRule="auto"/>
        <w:ind w:firstLine="567"/>
        <w:contextualSpacing/>
        <w:jc w:val="both"/>
        <w:rPr>
          <w:color w:val="000000"/>
          <w:sz w:val="26"/>
          <w:szCs w:val="26"/>
        </w:rPr>
      </w:pPr>
      <w:r w:rsidRPr="00BF47EE">
        <w:rPr>
          <w:color w:val="000000"/>
          <w:sz w:val="26"/>
          <w:szCs w:val="26"/>
        </w:rPr>
        <w:t>Поступления по транспортному налогу на 2021 и 202</w:t>
      </w:r>
      <w:r>
        <w:rPr>
          <w:color w:val="000000"/>
          <w:sz w:val="26"/>
          <w:szCs w:val="26"/>
        </w:rPr>
        <w:t>2</w:t>
      </w:r>
      <w:r w:rsidRPr="00BF47EE">
        <w:rPr>
          <w:color w:val="000000"/>
          <w:sz w:val="26"/>
          <w:szCs w:val="26"/>
        </w:rPr>
        <w:t xml:space="preserve"> годы запланированы в размере 25 850,0 тыс. руб. и 26 150,0 тыс. руб. соответственно, в том числе:</w:t>
      </w:r>
    </w:p>
    <w:p w:rsidR="00885F6A" w:rsidRPr="00BF47EE" w:rsidRDefault="00885F6A" w:rsidP="00885F6A">
      <w:pPr>
        <w:spacing w:line="276" w:lineRule="auto"/>
        <w:ind w:firstLine="567"/>
        <w:contextualSpacing/>
        <w:jc w:val="both"/>
        <w:rPr>
          <w:color w:val="000000"/>
          <w:sz w:val="26"/>
          <w:szCs w:val="26"/>
        </w:rPr>
      </w:pPr>
      <w:r w:rsidRPr="00BF47EE">
        <w:rPr>
          <w:color w:val="000000"/>
          <w:sz w:val="26"/>
          <w:szCs w:val="26"/>
        </w:rPr>
        <w:t>в 202</w:t>
      </w:r>
      <w:r>
        <w:rPr>
          <w:color w:val="000000"/>
          <w:sz w:val="26"/>
          <w:szCs w:val="26"/>
        </w:rPr>
        <w:t>1</w:t>
      </w:r>
      <w:r w:rsidRPr="00BF47EE">
        <w:rPr>
          <w:color w:val="000000"/>
          <w:sz w:val="26"/>
          <w:szCs w:val="26"/>
        </w:rPr>
        <w:t xml:space="preserve"> году поступления по транспортному налогу складываются из поступлений по транспортному налогу с физических лиц в сумме 20 680,0 тыс. руб. и транспортному налогу с организаций в сумме 5 170,0 тыс. руб.;</w:t>
      </w:r>
    </w:p>
    <w:p w:rsidR="00885F6A" w:rsidRPr="00BF47EE" w:rsidRDefault="00885F6A" w:rsidP="00885F6A">
      <w:pPr>
        <w:spacing w:line="276" w:lineRule="auto"/>
        <w:ind w:firstLine="567"/>
        <w:contextualSpacing/>
        <w:jc w:val="both"/>
        <w:rPr>
          <w:color w:val="000000"/>
          <w:sz w:val="26"/>
          <w:szCs w:val="26"/>
        </w:rPr>
      </w:pPr>
      <w:r w:rsidRPr="00BF47EE">
        <w:rPr>
          <w:color w:val="000000"/>
          <w:sz w:val="26"/>
          <w:szCs w:val="26"/>
        </w:rPr>
        <w:t>в 202</w:t>
      </w:r>
      <w:r>
        <w:rPr>
          <w:color w:val="000000"/>
          <w:sz w:val="26"/>
          <w:szCs w:val="26"/>
        </w:rPr>
        <w:t>2</w:t>
      </w:r>
      <w:r w:rsidRPr="00BF47EE">
        <w:rPr>
          <w:color w:val="000000"/>
          <w:sz w:val="26"/>
          <w:szCs w:val="26"/>
        </w:rPr>
        <w:t xml:space="preserve"> году поступления по транспортному налогу складываются из поступлений по транспортному налогу с физических лиц в сумме 20 920,0 тыс. руб. и транспортному налогу с организаций в сумме 5 230,0 тыс. руб.</w:t>
      </w:r>
    </w:p>
    <w:p w:rsidR="00885F6A" w:rsidRPr="00BF47EE" w:rsidRDefault="00885F6A" w:rsidP="00885F6A">
      <w:pPr>
        <w:spacing w:line="276" w:lineRule="auto"/>
        <w:contextualSpacing/>
        <w:jc w:val="center"/>
        <w:rPr>
          <w:b/>
          <w:sz w:val="26"/>
          <w:szCs w:val="26"/>
          <w:highlight w:val="yellow"/>
        </w:rPr>
      </w:pPr>
    </w:p>
    <w:p w:rsidR="00885F6A" w:rsidRPr="00BF47EE" w:rsidRDefault="00885F6A" w:rsidP="00885F6A">
      <w:pPr>
        <w:spacing w:line="276" w:lineRule="auto"/>
        <w:contextualSpacing/>
        <w:jc w:val="center"/>
        <w:rPr>
          <w:b/>
          <w:sz w:val="26"/>
          <w:szCs w:val="26"/>
        </w:rPr>
      </w:pPr>
      <w:r w:rsidRPr="00BF47EE">
        <w:rPr>
          <w:b/>
          <w:sz w:val="26"/>
          <w:szCs w:val="26"/>
        </w:rPr>
        <w:t>Земельный налог</w:t>
      </w:r>
    </w:p>
    <w:p w:rsidR="00885F6A" w:rsidRPr="00BF47EE" w:rsidRDefault="00885F6A" w:rsidP="00885F6A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47EE">
        <w:rPr>
          <w:rFonts w:ascii="Times New Roman" w:hAnsi="Times New Roman" w:cs="Times New Roman"/>
          <w:color w:val="000000"/>
          <w:sz w:val="26"/>
          <w:szCs w:val="26"/>
        </w:rPr>
        <w:t>Прогноз поступлений по земельному налогу в 2020 году составит 1 286 000,0 тыс. руб.</w:t>
      </w:r>
      <w:r w:rsidRPr="00BF47E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BF47EE">
        <w:rPr>
          <w:rFonts w:ascii="Times New Roman" w:hAnsi="Times New Roman" w:cs="Times New Roman"/>
          <w:color w:val="000000"/>
          <w:sz w:val="26"/>
          <w:szCs w:val="26"/>
        </w:rPr>
        <w:t>(в том числе: земельный налог организаций в сумме 1 239 618,0 тыс. руб., земельный налог физических лиц в сумме 46 382,0 тыс. руб.</w:t>
      </w:r>
      <w:proofErr w:type="gramStart"/>
      <w:r w:rsidRPr="00BF47EE">
        <w:rPr>
          <w:rFonts w:ascii="Times New Roman" w:hAnsi="Times New Roman" w:cs="Times New Roman"/>
          <w:color w:val="000000"/>
          <w:sz w:val="26"/>
          <w:szCs w:val="26"/>
        </w:rPr>
        <w:t xml:space="preserve"> )</w:t>
      </w:r>
      <w:proofErr w:type="gramEnd"/>
      <w:r w:rsidRPr="00BF47EE">
        <w:rPr>
          <w:rFonts w:ascii="Times New Roman" w:hAnsi="Times New Roman" w:cs="Times New Roman"/>
          <w:color w:val="000000"/>
          <w:sz w:val="26"/>
          <w:szCs w:val="26"/>
        </w:rPr>
        <w:t>, при ожидаемом поступлении в текущем году в сумме 1 290 000,0 тыс. руб.</w:t>
      </w:r>
    </w:p>
    <w:p w:rsidR="00885F6A" w:rsidRPr="00BF47EE" w:rsidRDefault="00885F6A" w:rsidP="00885F6A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47EE">
        <w:rPr>
          <w:rFonts w:ascii="Times New Roman" w:hAnsi="Times New Roman" w:cs="Times New Roman"/>
          <w:color w:val="000000"/>
          <w:sz w:val="26"/>
          <w:szCs w:val="26"/>
        </w:rPr>
        <w:t>Расчет произведен администраторами поступлений - Инспекциями Федеральной налоговой службы по городу Новокузнецку в соответствии с действующей редакцией Положения о земельном налоге на территории города Новокузнецка и с учетом существующей тенденции пересмотра кадастровой стоимости земельных участков.</w:t>
      </w:r>
    </w:p>
    <w:p w:rsidR="00885F6A" w:rsidRPr="00BF47EE" w:rsidRDefault="00885F6A" w:rsidP="00885F6A">
      <w:pPr>
        <w:pStyle w:val="ConsPlusNormal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47EE">
        <w:rPr>
          <w:rFonts w:ascii="Times New Roman" w:hAnsi="Times New Roman" w:cs="Times New Roman"/>
          <w:color w:val="000000"/>
          <w:sz w:val="26"/>
          <w:szCs w:val="26"/>
        </w:rPr>
        <w:t>Прогноз поступлений по земельному налогу на 2021-2022 годы рассчитан, исходя из прогноза поступлений на 2020 год, и составит на 2021 год в сумме 1 290 000,0 тыс. руб., на 2022 год в сумме 1 303 000,0 тыс. руб.</w:t>
      </w:r>
    </w:p>
    <w:p w:rsidR="008D1AB2" w:rsidRDefault="00885F6A" w:rsidP="00885F6A">
      <w:pPr>
        <w:pStyle w:val="ConsPlusNormal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47EE">
        <w:rPr>
          <w:rFonts w:ascii="Times New Roman" w:hAnsi="Times New Roman" w:cs="Times New Roman"/>
          <w:color w:val="000000"/>
          <w:sz w:val="26"/>
          <w:szCs w:val="26"/>
        </w:rPr>
        <w:t>Действующая кадастровая оценка утверждена решение</w:t>
      </w:r>
      <w:r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Pr="00BF47E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BF47EE">
        <w:rPr>
          <w:rFonts w:ascii="Times New Roman" w:hAnsi="Times New Roman" w:cs="Times New Roman"/>
          <w:color w:val="000000"/>
          <w:sz w:val="26"/>
          <w:szCs w:val="26"/>
        </w:rPr>
        <w:t>омитета по управлению государственным имуществом Кемеровской области от 25.11.2015</w:t>
      </w:r>
      <w:r w:rsidR="00BC0526">
        <w:rPr>
          <w:rFonts w:ascii="Times New Roman" w:hAnsi="Times New Roman" w:cs="Times New Roman"/>
          <w:color w:val="000000"/>
          <w:sz w:val="26"/>
          <w:szCs w:val="26"/>
        </w:rPr>
        <w:t>г.</w:t>
      </w:r>
      <w:r w:rsidRPr="00BF47EE">
        <w:rPr>
          <w:rFonts w:ascii="Times New Roman" w:hAnsi="Times New Roman" w:cs="Times New Roman"/>
          <w:color w:val="000000"/>
          <w:sz w:val="26"/>
          <w:szCs w:val="26"/>
        </w:rPr>
        <w:t xml:space="preserve"> № 4-2/3904 «Об утверждении результатов государственной кадастровой оценки земель населенных пунктов Кемеровской области» на срок 5 лет, соответственно предельный срок её применения</w:t>
      </w:r>
      <w:r w:rsidR="008D1AB2">
        <w:rPr>
          <w:rFonts w:ascii="Times New Roman" w:hAnsi="Times New Roman" w:cs="Times New Roman"/>
          <w:color w:val="000000"/>
          <w:sz w:val="26"/>
          <w:szCs w:val="26"/>
        </w:rPr>
        <w:t xml:space="preserve"> -</w:t>
      </w:r>
      <w:r w:rsidRPr="00BF47EE">
        <w:rPr>
          <w:rFonts w:ascii="Times New Roman" w:hAnsi="Times New Roman" w:cs="Times New Roman"/>
          <w:color w:val="000000"/>
          <w:sz w:val="26"/>
          <w:szCs w:val="26"/>
        </w:rPr>
        <w:t xml:space="preserve"> 2020 год. </w:t>
      </w:r>
    </w:p>
    <w:p w:rsidR="00885F6A" w:rsidRPr="00BF47EE" w:rsidRDefault="00885F6A" w:rsidP="00885F6A">
      <w:pPr>
        <w:pStyle w:val="ConsPlusNormal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BF47EE">
        <w:rPr>
          <w:rFonts w:ascii="Times New Roman" w:hAnsi="Times New Roman" w:cs="Times New Roman"/>
          <w:color w:val="000000"/>
          <w:sz w:val="26"/>
          <w:szCs w:val="26"/>
        </w:rPr>
        <w:t>С 1 января 2019 года осуществляется переход к новым правилам проведения кадастровой оценки в Кемеровской области в соответствии с Федеральным законом от 03.07.2016</w:t>
      </w:r>
      <w:r w:rsidR="00BC0526">
        <w:rPr>
          <w:rFonts w:ascii="Times New Roman" w:hAnsi="Times New Roman" w:cs="Times New Roman"/>
          <w:color w:val="000000"/>
          <w:sz w:val="26"/>
          <w:szCs w:val="26"/>
        </w:rPr>
        <w:t>г.</w:t>
      </w:r>
      <w:r w:rsidRPr="00BF47EE">
        <w:rPr>
          <w:rFonts w:ascii="Times New Roman" w:hAnsi="Times New Roman" w:cs="Times New Roman"/>
          <w:color w:val="000000"/>
          <w:sz w:val="26"/>
          <w:szCs w:val="26"/>
        </w:rPr>
        <w:t xml:space="preserve"> № 237-ФЗ «О государственной кадастровой оценке», согласно которому государственную кадастровую оценку будут проводить не частные оценочные компании, а специально создаваемые бюджетные учреждения в Кемеровской области - государственное бюджетное учреждение Кемеровской области «Центр государственной кадастровой оценки и технической инвентаризации</w:t>
      </w:r>
      <w:proofErr w:type="gramEnd"/>
      <w:r w:rsidRPr="00BF47EE">
        <w:rPr>
          <w:rFonts w:ascii="Times New Roman" w:hAnsi="Times New Roman" w:cs="Times New Roman"/>
          <w:color w:val="000000"/>
          <w:sz w:val="26"/>
          <w:szCs w:val="26"/>
        </w:rPr>
        <w:t xml:space="preserve"> Кемеровской области». </w:t>
      </w:r>
    </w:p>
    <w:p w:rsidR="00885F6A" w:rsidRPr="00BF47EE" w:rsidRDefault="00885F6A" w:rsidP="00885F6A">
      <w:pPr>
        <w:pStyle w:val="ConsPlusNormal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F47EE">
        <w:rPr>
          <w:rFonts w:ascii="Times New Roman" w:hAnsi="Times New Roman" w:cs="Times New Roman"/>
          <w:color w:val="000000"/>
          <w:sz w:val="26"/>
          <w:szCs w:val="26"/>
        </w:rPr>
        <w:t>Прогноз поступлений городского бюджета по земельному налогу на 2021-2022 годы не учитывает возможное увеличение налогооблагаемой базы по результатам проведения новой государственной кадастровой оценки земель населенных пунктов.</w:t>
      </w:r>
    </w:p>
    <w:p w:rsidR="00D852EB" w:rsidRDefault="00D852EB" w:rsidP="00885F6A">
      <w:pPr>
        <w:spacing w:line="276" w:lineRule="auto"/>
        <w:ind w:right="-81"/>
        <w:contextualSpacing/>
        <w:jc w:val="center"/>
        <w:rPr>
          <w:b/>
          <w:sz w:val="26"/>
          <w:szCs w:val="26"/>
        </w:rPr>
      </w:pPr>
    </w:p>
    <w:p w:rsidR="00885F6A" w:rsidRPr="00BF47EE" w:rsidRDefault="00885F6A" w:rsidP="00885F6A">
      <w:pPr>
        <w:spacing w:line="276" w:lineRule="auto"/>
        <w:ind w:right="-81"/>
        <w:contextualSpacing/>
        <w:jc w:val="center"/>
        <w:rPr>
          <w:b/>
          <w:sz w:val="26"/>
          <w:szCs w:val="26"/>
        </w:rPr>
      </w:pPr>
      <w:r w:rsidRPr="00BF47EE">
        <w:rPr>
          <w:b/>
          <w:sz w:val="26"/>
          <w:szCs w:val="26"/>
        </w:rPr>
        <w:lastRenderedPageBreak/>
        <w:t>Государственная пошлина</w:t>
      </w:r>
    </w:p>
    <w:p w:rsidR="00BC0526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Прогноз поступлений государственной пошлины составлен с учетом ожидаемой оценки поступлений за 2019 год и прогноз</w:t>
      </w:r>
      <w:r>
        <w:rPr>
          <w:sz w:val="26"/>
          <w:szCs w:val="26"/>
        </w:rPr>
        <w:t>ов</w:t>
      </w:r>
      <w:r w:rsidRPr="00BF47EE">
        <w:rPr>
          <w:sz w:val="26"/>
          <w:szCs w:val="26"/>
        </w:rPr>
        <w:t xml:space="preserve"> администраторов - </w:t>
      </w:r>
      <w:r>
        <w:rPr>
          <w:sz w:val="26"/>
          <w:szCs w:val="26"/>
        </w:rPr>
        <w:t>И</w:t>
      </w:r>
      <w:r w:rsidRPr="00BF47EE">
        <w:rPr>
          <w:color w:val="000000" w:themeColor="text1"/>
          <w:sz w:val="26"/>
          <w:szCs w:val="26"/>
        </w:rPr>
        <w:t xml:space="preserve">нспекций Федеральной налоговой службы по городу Новокузнецку, </w:t>
      </w:r>
      <w:r>
        <w:rPr>
          <w:color w:val="000000" w:themeColor="text1"/>
          <w:sz w:val="26"/>
          <w:szCs w:val="26"/>
        </w:rPr>
        <w:t>к</w:t>
      </w:r>
      <w:r w:rsidRPr="00BF47EE">
        <w:rPr>
          <w:sz w:val="26"/>
          <w:szCs w:val="26"/>
        </w:rPr>
        <w:t>омитета градостроительства и земельных ресурсов и управления дорожно-коммунального хозяйства и благоустройства администрации города Новокузнецка.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Общий объем поступлений государственной пошлины в городской бюджет прогнозируется на 2020 год в сумме 8</w:t>
      </w:r>
      <w:r w:rsidRPr="00BF47EE">
        <w:rPr>
          <w:bCs/>
          <w:sz w:val="26"/>
          <w:szCs w:val="26"/>
        </w:rPr>
        <w:t xml:space="preserve">7 627,0 </w:t>
      </w:r>
      <w:r w:rsidRPr="00BF47EE">
        <w:rPr>
          <w:sz w:val="26"/>
          <w:szCs w:val="26"/>
        </w:rPr>
        <w:t xml:space="preserve">тыс. руб. (при ожидаемом поступлении за 2019 год в сумме </w:t>
      </w:r>
      <w:r w:rsidRPr="00BF47EE">
        <w:rPr>
          <w:bCs/>
          <w:sz w:val="26"/>
          <w:szCs w:val="26"/>
        </w:rPr>
        <w:t xml:space="preserve">144 456,4 </w:t>
      </w:r>
      <w:r w:rsidRPr="00BF47EE">
        <w:rPr>
          <w:sz w:val="26"/>
          <w:szCs w:val="26"/>
        </w:rPr>
        <w:t>тыс. руб.) на 2021 год в сумме 88</w:t>
      </w:r>
      <w:r w:rsidRPr="00BF47EE">
        <w:rPr>
          <w:bCs/>
          <w:sz w:val="26"/>
          <w:szCs w:val="26"/>
        </w:rPr>
        <w:t xml:space="preserve"> 132,0 </w:t>
      </w:r>
      <w:r w:rsidRPr="00BF47EE">
        <w:rPr>
          <w:sz w:val="26"/>
          <w:szCs w:val="26"/>
        </w:rPr>
        <w:t>тыс. руб., на 2022 год в сумме 88</w:t>
      </w:r>
      <w:r w:rsidRPr="00BF47EE">
        <w:rPr>
          <w:bCs/>
          <w:sz w:val="26"/>
          <w:szCs w:val="26"/>
        </w:rPr>
        <w:t xml:space="preserve"> 637,0</w:t>
      </w:r>
      <w:r w:rsidRPr="00BF47EE">
        <w:rPr>
          <w:sz w:val="26"/>
          <w:szCs w:val="26"/>
        </w:rPr>
        <w:t xml:space="preserve"> тыс</w:t>
      </w:r>
      <w:proofErr w:type="gramStart"/>
      <w:r w:rsidRPr="00BF47EE">
        <w:rPr>
          <w:sz w:val="26"/>
          <w:szCs w:val="26"/>
        </w:rPr>
        <w:t>.р</w:t>
      </w:r>
      <w:proofErr w:type="gramEnd"/>
      <w:r w:rsidRPr="00BF47EE">
        <w:rPr>
          <w:sz w:val="26"/>
          <w:szCs w:val="26"/>
        </w:rPr>
        <w:t>уб.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BF47EE">
        <w:rPr>
          <w:sz w:val="26"/>
          <w:szCs w:val="26"/>
        </w:rPr>
        <w:t>В соответствии с постановлением Коллегии администрации Кемеровской области № 243 от 19.04.2019</w:t>
      </w:r>
      <w:r w:rsidR="00BC0526">
        <w:rPr>
          <w:sz w:val="26"/>
          <w:szCs w:val="26"/>
        </w:rPr>
        <w:t xml:space="preserve">г. </w:t>
      </w:r>
      <w:r w:rsidRPr="00BF47EE">
        <w:rPr>
          <w:sz w:val="26"/>
          <w:szCs w:val="26"/>
        </w:rPr>
        <w:t>«Об отдельных вопросах организации предоставления государственных и муниципальных услуг в многофункциональных центрах предоставления государственных и муниципальных услуг, осуществляющих свою деятельность на территории Кемеровской области», с 01.01.2020г. будет завершен переход на централизованную систему организации МФЦ и доходы в бюджет Новокузнецкого городского округа зачисляться не будут.</w:t>
      </w:r>
      <w:proofErr w:type="gramEnd"/>
      <w:r w:rsidRPr="00BF47EE">
        <w:rPr>
          <w:sz w:val="26"/>
          <w:szCs w:val="26"/>
        </w:rPr>
        <w:t xml:space="preserve"> Поступления от предоставления услуг МАУ МФЦ города Новокузнецка в 2018</w:t>
      </w:r>
      <w:r w:rsidR="00BC0526">
        <w:rPr>
          <w:sz w:val="26"/>
          <w:szCs w:val="26"/>
        </w:rPr>
        <w:t xml:space="preserve"> году</w:t>
      </w:r>
      <w:r w:rsidRPr="00BF47EE">
        <w:rPr>
          <w:sz w:val="26"/>
          <w:szCs w:val="26"/>
        </w:rPr>
        <w:t xml:space="preserve"> составили 59 554,6 тыс</w:t>
      </w:r>
      <w:proofErr w:type="gramStart"/>
      <w:r w:rsidRPr="00BF47EE">
        <w:rPr>
          <w:sz w:val="26"/>
          <w:szCs w:val="26"/>
        </w:rPr>
        <w:t>.р</w:t>
      </w:r>
      <w:proofErr w:type="gramEnd"/>
      <w:r w:rsidRPr="00BF47EE">
        <w:rPr>
          <w:sz w:val="26"/>
          <w:szCs w:val="26"/>
        </w:rPr>
        <w:t>уб., на 01.11.2019</w:t>
      </w:r>
      <w:r w:rsidR="000D3F1A">
        <w:rPr>
          <w:sz w:val="26"/>
          <w:szCs w:val="26"/>
        </w:rPr>
        <w:t>г.</w:t>
      </w:r>
      <w:r w:rsidRPr="00BF47EE">
        <w:rPr>
          <w:sz w:val="26"/>
          <w:szCs w:val="26"/>
        </w:rPr>
        <w:t xml:space="preserve"> в сумме 43 932,6 тыс. руб. 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В составе прогнозируемых доходов на 2020-2022 годы учтены следующие виды государственной пошлины:</w:t>
      </w:r>
    </w:p>
    <w:p w:rsidR="00885F6A" w:rsidRPr="00BF47EE" w:rsidRDefault="00885F6A" w:rsidP="008435BF">
      <w:pPr>
        <w:pStyle w:val="30"/>
        <w:numPr>
          <w:ilvl w:val="0"/>
          <w:numId w:val="11"/>
        </w:numPr>
        <w:tabs>
          <w:tab w:val="left" w:pos="851"/>
        </w:tabs>
        <w:spacing w:after="0" w:line="276" w:lineRule="auto"/>
        <w:ind w:left="0" w:firstLine="567"/>
        <w:contextualSpacing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по делам, рассматриваемым в судах общей юрисдикции, мировыми судьями – 86 000 тыс. руб. (при ожидаемом поступлении за 2019 год в сумме 85 075,0 тыс. руб.), на 2021 год в сумме 86 500,0 тыс. руб., на 2022 год в сумме 87 000,0 тыс. руб.;</w:t>
      </w:r>
    </w:p>
    <w:p w:rsidR="00885F6A" w:rsidRPr="00BF47EE" w:rsidRDefault="00885F6A" w:rsidP="008435BF">
      <w:pPr>
        <w:pStyle w:val="30"/>
        <w:numPr>
          <w:ilvl w:val="0"/>
          <w:numId w:val="11"/>
        </w:numPr>
        <w:tabs>
          <w:tab w:val="left" w:pos="851"/>
        </w:tabs>
        <w:spacing w:after="0" w:line="276" w:lineRule="auto"/>
        <w:ind w:left="0" w:firstLine="567"/>
        <w:contextualSpacing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за выдачу разрешения на установку рекламной конструкции на 2020 год  в сумме 75,0 тыс. руб. (при ожидаемом поступлении за 2019 год в сумме в сумме 70,0 тыс. руб.), на 2021 год в сумме 80,0 тыс</w:t>
      </w:r>
      <w:proofErr w:type="gramStart"/>
      <w:r w:rsidRPr="00BF47EE">
        <w:rPr>
          <w:sz w:val="26"/>
          <w:szCs w:val="26"/>
        </w:rPr>
        <w:t>.р</w:t>
      </w:r>
      <w:proofErr w:type="gramEnd"/>
      <w:r w:rsidRPr="00BF47EE">
        <w:rPr>
          <w:sz w:val="26"/>
          <w:szCs w:val="26"/>
        </w:rPr>
        <w:t>уб., на 2022 год в сумме 85,0 тыс.руб.;</w:t>
      </w:r>
    </w:p>
    <w:p w:rsidR="00885F6A" w:rsidRPr="00BF47EE" w:rsidRDefault="00885F6A" w:rsidP="008435BF">
      <w:pPr>
        <w:pStyle w:val="30"/>
        <w:numPr>
          <w:ilvl w:val="0"/>
          <w:numId w:val="11"/>
        </w:numPr>
        <w:tabs>
          <w:tab w:val="left" w:pos="851"/>
        </w:tabs>
        <w:spacing w:after="0" w:line="276" w:lineRule="auto"/>
        <w:ind w:left="0" w:right="-81" w:firstLine="567"/>
        <w:contextualSpacing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за выдачу специального разрешения на движение по автомобильным дорогам на 2020-2022 годы в сумме 1 552 тыс. руб. ежегодно (при ожидаемом поступлении за 2019 год в сумме 1 552,0 тыс. руб.).</w:t>
      </w:r>
    </w:p>
    <w:p w:rsidR="00885F6A" w:rsidRPr="00BF47EE" w:rsidRDefault="00885F6A" w:rsidP="00885F6A">
      <w:pPr>
        <w:pStyle w:val="30"/>
        <w:spacing w:after="0" w:line="276" w:lineRule="auto"/>
        <w:ind w:left="0" w:right="-81" w:firstLine="567"/>
        <w:contextualSpacing/>
        <w:jc w:val="both"/>
        <w:rPr>
          <w:sz w:val="26"/>
          <w:szCs w:val="26"/>
          <w:highlight w:val="yellow"/>
        </w:rPr>
      </w:pPr>
    </w:p>
    <w:p w:rsidR="00885F6A" w:rsidRPr="00BF47EE" w:rsidRDefault="00885F6A" w:rsidP="00885F6A">
      <w:pPr>
        <w:spacing w:line="276" w:lineRule="auto"/>
        <w:jc w:val="center"/>
        <w:rPr>
          <w:sz w:val="26"/>
          <w:szCs w:val="26"/>
        </w:rPr>
      </w:pPr>
      <w:r w:rsidRPr="00BF47EE">
        <w:rPr>
          <w:sz w:val="26"/>
          <w:szCs w:val="26"/>
        </w:rPr>
        <w:t>НЕНАЛОГОВЫЕ ДОХОДЫ</w:t>
      </w:r>
    </w:p>
    <w:p w:rsidR="00885F6A" w:rsidRPr="00BF47EE" w:rsidRDefault="00885F6A" w:rsidP="00885F6A">
      <w:pPr>
        <w:spacing w:line="276" w:lineRule="auto"/>
        <w:jc w:val="right"/>
        <w:rPr>
          <w:rFonts w:eastAsiaTheme="minorHAnsi"/>
          <w:color w:val="000000"/>
          <w:sz w:val="26"/>
          <w:szCs w:val="26"/>
          <w:lang w:eastAsia="en-US"/>
        </w:rPr>
      </w:pPr>
    </w:p>
    <w:p w:rsidR="00885F6A" w:rsidRPr="00BF47EE" w:rsidRDefault="00885F6A" w:rsidP="00885F6A">
      <w:pPr>
        <w:spacing w:line="276" w:lineRule="auto"/>
        <w:ind w:firstLine="708"/>
        <w:contextualSpacing/>
        <w:jc w:val="both"/>
        <w:rPr>
          <w:sz w:val="26"/>
          <w:szCs w:val="26"/>
        </w:rPr>
      </w:pPr>
      <w:r w:rsidRPr="00BF47EE">
        <w:rPr>
          <w:sz w:val="26"/>
          <w:szCs w:val="26"/>
        </w:rPr>
        <w:t xml:space="preserve">Проектом предлагается установить объем неналоговых доходов на 2020 год в размере  544 917,2 </w:t>
      </w:r>
      <w:r w:rsidRPr="00BF47EE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BF47EE">
        <w:rPr>
          <w:sz w:val="26"/>
          <w:szCs w:val="26"/>
        </w:rPr>
        <w:t>, на 2021 год в размере 561 337,2</w:t>
      </w:r>
      <w:r w:rsidRPr="00BF47EE">
        <w:rPr>
          <w:color w:val="000000"/>
          <w:sz w:val="26"/>
          <w:szCs w:val="26"/>
        </w:rPr>
        <w:t xml:space="preserve"> </w:t>
      </w:r>
      <w:r w:rsidRPr="00BF47EE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BF47EE">
        <w:rPr>
          <w:sz w:val="26"/>
          <w:szCs w:val="26"/>
        </w:rPr>
        <w:t xml:space="preserve">, на 2022 год в размере 573 469,2 </w:t>
      </w:r>
      <w:r w:rsidRPr="00BF47EE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BF47EE">
        <w:rPr>
          <w:sz w:val="26"/>
          <w:szCs w:val="26"/>
        </w:rPr>
        <w:t xml:space="preserve"> </w:t>
      </w:r>
    </w:p>
    <w:p w:rsidR="00885F6A" w:rsidRPr="00BF47EE" w:rsidRDefault="00885F6A" w:rsidP="00885F6A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BF47EE">
        <w:rPr>
          <w:b/>
          <w:sz w:val="26"/>
          <w:szCs w:val="26"/>
        </w:rPr>
        <w:t>Арендная плата за землю</w:t>
      </w:r>
    </w:p>
    <w:p w:rsidR="00885F6A" w:rsidRPr="00BF47EE" w:rsidRDefault="00885F6A" w:rsidP="00885F6A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F47EE">
        <w:rPr>
          <w:rFonts w:ascii="Times New Roman" w:hAnsi="Times New Roman" w:cs="Times New Roman"/>
          <w:sz w:val="26"/>
          <w:szCs w:val="26"/>
        </w:rPr>
        <w:t xml:space="preserve">Прогноз поступлений по арендной плате за земельные участки, государственная собственность на которые не разграничена, на 2020 год рассчитан в сумме 282 410,0 тыс. руб. </w:t>
      </w:r>
    </w:p>
    <w:p w:rsidR="00885F6A" w:rsidRPr="00BF47EE" w:rsidRDefault="00885F6A" w:rsidP="00885F6A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F47EE">
        <w:rPr>
          <w:rFonts w:ascii="Times New Roman" w:hAnsi="Times New Roman" w:cs="Times New Roman"/>
          <w:sz w:val="26"/>
          <w:szCs w:val="26"/>
        </w:rPr>
        <w:t xml:space="preserve">Расчет произведен администратором поступлений -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BF47EE">
        <w:rPr>
          <w:rFonts w:ascii="Times New Roman" w:hAnsi="Times New Roman" w:cs="Times New Roman"/>
          <w:sz w:val="26"/>
          <w:szCs w:val="26"/>
        </w:rPr>
        <w:t>омитетом градостроительства и земельных ресурсов администрации города Новокузнецка</w:t>
      </w:r>
      <w:r w:rsidR="001102FA">
        <w:rPr>
          <w:rFonts w:ascii="Times New Roman" w:hAnsi="Times New Roman" w:cs="Times New Roman"/>
          <w:sz w:val="26"/>
          <w:szCs w:val="26"/>
        </w:rPr>
        <w:t>,</w:t>
      </w:r>
      <w:r w:rsidRPr="00BF47EE">
        <w:rPr>
          <w:rFonts w:ascii="Times New Roman" w:hAnsi="Times New Roman" w:cs="Times New Roman"/>
          <w:sz w:val="26"/>
          <w:szCs w:val="26"/>
        </w:rPr>
        <w:t xml:space="preserve"> в соответствии с действующей редакцией Постановления Коллегии Администрации </w:t>
      </w:r>
      <w:r w:rsidRPr="00BF47EE">
        <w:rPr>
          <w:rFonts w:ascii="Times New Roman" w:hAnsi="Times New Roman" w:cs="Times New Roman"/>
          <w:sz w:val="26"/>
          <w:szCs w:val="26"/>
        </w:rPr>
        <w:lastRenderedPageBreak/>
        <w:t>Кемеровской области от 05.02.2010</w:t>
      </w:r>
      <w:r w:rsidR="00BC0526">
        <w:rPr>
          <w:rFonts w:ascii="Times New Roman" w:hAnsi="Times New Roman" w:cs="Times New Roman"/>
          <w:sz w:val="26"/>
          <w:szCs w:val="26"/>
        </w:rPr>
        <w:t>г.</w:t>
      </w:r>
      <w:r w:rsidRPr="00BF47EE">
        <w:rPr>
          <w:rFonts w:ascii="Times New Roman" w:hAnsi="Times New Roman" w:cs="Times New Roman"/>
          <w:sz w:val="26"/>
          <w:szCs w:val="26"/>
        </w:rPr>
        <w:t xml:space="preserve"> № 47 «Об утверждении Порядка определения размера арендной платы, порядка, условий и сроков внесения арендной платы за использование земельных участков, государственная собственности на которые не разграничена, на территории Кемеровской области», с учетом существующей тенденции пересмотра кадастровой</w:t>
      </w:r>
      <w:proofErr w:type="gramEnd"/>
      <w:r w:rsidRPr="00BF47EE">
        <w:rPr>
          <w:rFonts w:ascii="Times New Roman" w:hAnsi="Times New Roman" w:cs="Times New Roman"/>
          <w:sz w:val="26"/>
          <w:szCs w:val="26"/>
        </w:rPr>
        <w:t xml:space="preserve"> стоимости земельных участков, а также динамики вновь заключаемых и расторгаемых договоров аренды земельных участков и проводимой работы по взысканию задолженности. </w:t>
      </w:r>
    </w:p>
    <w:p w:rsidR="00885F6A" w:rsidRPr="00BF47EE" w:rsidRDefault="00885F6A" w:rsidP="00885F6A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F47EE">
        <w:rPr>
          <w:rFonts w:ascii="Times New Roman" w:hAnsi="Times New Roman" w:cs="Times New Roman"/>
          <w:sz w:val="26"/>
          <w:szCs w:val="26"/>
        </w:rPr>
        <w:t>Прогноз поступления арендной платы за земельные участки на 2021-2022 годы рассчитан с применением коэффициента инфляции (1,043% ежегодно</w:t>
      </w:r>
      <w:r w:rsidR="001102FA">
        <w:rPr>
          <w:rFonts w:ascii="Times New Roman" w:hAnsi="Times New Roman" w:cs="Times New Roman"/>
          <w:sz w:val="26"/>
          <w:szCs w:val="26"/>
        </w:rPr>
        <w:t>)</w:t>
      </w:r>
      <w:r w:rsidRPr="00BF47EE">
        <w:rPr>
          <w:rFonts w:ascii="Times New Roman" w:hAnsi="Times New Roman" w:cs="Times New Roman"/>
          <w:sz w:val="26"/>
          <w:szCs w:val="26"/>
        </w:rPr>
        <w:t xml:space="preserve"> и составляет: на 2021 год в сумме 294 519,0 тыс. руб., на 2022 год в сумме 307 149,0 тыс. руб. </w:t>
      </w:r>
    </w:p>
    <w:p w:rsidR="00885F6A" w:rsidRPr="00BF47EE" w:rsidRDefault="00885F6A" w:rsidP="00885F6A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В прогнозе на 2020-2022 годы также учтена сумма поступлений средств от продажи права на заключение договоров аренды земельных участков в размере 800,0 тыс. руб. ежегодно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администратором</w:t>
      </w:r>
      <w:proofErr w:type="gramEnd"/>
      <w:r>
        <w:rPr>
          <w:sz w:val="26"/>
          <w:szCs w:val="26"/>
        </w:rPr>
        <w:t xml:space="preserve"> которых является комитет </w:t>
      </w:r>
      <w:r w:rsidRPr="00BF47EE">
        <w:rPr>
          <w:sz w:val="26"/>
          <w:szCs w:val="26"/>
        </w:rPr>
        <w:t>по управлению муниципальным имуществом.</w:t>
      </w:r>
    </w:p>
    <w:p w:rsidR="00885F6A" w:rsidRPr="00BF47EE" w:rsidRDefault="00885F6A" w:rsidP="00885F6A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b/>
          <w:sz w:val="26"/>
          <w:szCs w:val="26"/>
          <w:highlight w:val="yellow"/>
          <w:lang w:eastAsia="en-US"/>
        </w:rPr>
      </w:pPr>
    </w:p>
    <w:p w:rsidR="00885F6A" w:rsidRPr="00BF47EE" w:rsidRDefault="00885F6A" w:rsidP="00885F6A">
      <w:pPr>
        <w:shd w:val="clear" w:color="auto" w:fill="FFFFFF"/>
        <w:spacing w:line="276" w:lineRule="auto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BF47EE">
        <w:rPr>
          <w:rFonts w:eastAsiaTheme="minorHAnsi"/>
          <w:b/>
          <w:sz w:val="26"/>
          <w:szCs w:val="26"/>
          <w:lang w:eastAsia="en-US"/>
        </w:rPr>
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</w:p>
    <w:p w:rsidR="00885F6A" w:rsidRPr="00BF47EE" w:rsidRDefault="00885F6A" w:rsidP="00885F6A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BF47EE">
        <w:rPr>
          <w:sz w:val="26"/>
          <w:szCs w:val="26"/>
        </w:rPr>
        <w:t xml:space="preserve">Прочие доходы от использования имущества, находящегося в собственности Новокузнецкого городского округа, запланированы на 2020 год на основании прогнозов, предоставленных администраторами данных поступлений - </w:t>
      </w:r>
      <w:r>
        <w:rPr>
          <w:sz w:val="26"/>
          <w:szCs w:val="26"/>
        </w:rPr>
        <w:t>к</w:t>
      </w:r>
      <w:r w:rsidRPr="00BF47EE">
        <w:rPr>
          <w:sz w:val="26"/>
          <w:szCs w:val="26"/>
        </w:rPr>
        <w:t xml:space="preserve">омитетом по управлению муниципальным имуществом, </w:t>
      </w:r>
      <w:r>
        <w:rPr>
          <w:sz w:val="26"/>
          <w:szCs w:val="26"/>
        </w:rPr>
        <w:t>к</w:t>
      </w:r>
      <w:r w:rsidRPr="00BF47EE">
        <w:rPr>
          <w:sz w:val="26"/>
          <w:szCs w:val="26"/>
        </w:rPr>
        <w:t xml:space="preserve">омитетом градостроительства и земельных ресурсов, </w:t>
      </w:r>
      <w:r>
        <w:rPr>
          <w:sz w:val="26"/>
          <w:szCs w:val="26"/>
        </w:rPr>
        <w:t>к</w:t>
      </w:r>
      <w:r w:rsidRPr="00BF47EE">
        <w:rPr>
          <w:sz w:val="26"/>
          <w:szCs w:val="26"/>
        </w:rPr>
        <w:t>омитетом жилищно-коммунального хозяйства администрации города в сумме 50 022,0 тыс. руб. (при ожидаемом поступлении за 2019 год в сумме 63 784,1 тыс</w:t>
      </w:r>
      <w:proofErr w:type="gramStart"/>
      <w:r w:rsidRPr="00BF47EE">
        <w:rPr>
          <w:sz w:val="26"/>
          <w:szCs w:val="26"/>
        </w:rPr>
        <w:t>.р</w:t>
      </w:r>
      <w:proofErr w:type="gramEnd"/>
      <w:r w:rsidRPr="00BF47EE">
        <w:rPr>
          <w:sz w:val="26"/>
          <w:szCs w:val="26"/>
        </w:rPr>
        <w:t>уб.), на 2021 год в сумме 51 888,0 тыс</w:t>
      </w:r>
      <w:proofErr w:type="gramStart"/>
      <w:r w:rsidRPr="00BF47EE">
        <w:rPr>
          <w:sz w:val="26"/>
          <w:szCs w:val="26"/>
        </w:rPr>
        <w:t>.р</w:t>
      </w:r>
      <w:proofErr w:type="gramEnd"/>
      <w:r w:rsidRPr="00BF47EE">
        <w:rPr>
          <w:sz w:val="26"/>
          <w:szCs w:val="26"/>
        </w:rPr>
        <w:t>уб., на 2022 год в сумме 53 724,7 тыс.руб., в том числе:</w:t>
      </w:r>
    </w:p>
    <w:p w:rsidR="00885F6A" w:rsidRPr="008435BF" w:rsidRDefault="00885F6A" w:rsidP="008435BF">
      <w:pPr>
        <w:pStyle w:val="af1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435BF">
        <w:rPr>
          <w:sz w:val="26"/>
          <w:szCs w:val="26"/>
        </w:rPr>
        <w:t xml:space="preserve">плата за наем жилых помещений 20 910,0 тыс. руб. (при ожидаемом поступлении за 2019 год в сумме 20 170,1 тыс. руб.); поступления на 2021 год и 2022 год 21 734,0 тыс. руб. и 22 484,7 тыс. руб., соответственно. </w:t>
      </w:r>
    </w:p>
    <w:p w:rsidR="00885F6A" w:rsidRPr="008435BF" w:rsidRDefault="00885F6A" w:rsidP="008435BF">
      <w:pPr>
        <w:pStyle w:val="af1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435BF">
        <w:rPr>
          <w:sz w:val="26"/>
          <w:szCs w:val="26"/>
        </w:rPr>
        <w:t>плата за размещение наружной рекламы в 2020-2022 годах в сумме 4 894,0 тыс. руб. (при ожидаемом поступлении за 2019 год в сумме 4 894,0 тыс. руб.). Планируемая к поступлению сумма складывается из размера платы за размещение наружной рекламы по действующим договорам.</w:t>
      </w:r>
    </w:p>
    <w:p w:rsidR="00885F6A" w:rsidRPr="008435BF" w:rsidRDefault="00885F6A" w:rsidP="008435BF">
      <w:pPr>
        <w:pStyle w:val="af1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6"/>
          <w:szCs w:val="26"/>
        </w:rPr>
      </w:pPr>
      <w:r w:rsidRPr="008435BF">
        <w:rPr>
          <w:color w:val="000000" w:themeColor="text1"/>
          <w:sz w:val="26"/>
          <w:szCs w:val="26"/>
        </w:rPr>
        <w:t xml:space="preserve">плата за размещение нестационарных торговых объектов на 2020 году </w:t>
      </w:r>
      <w:r w:rsidRPr="008435BF">
        <w:rPr>
          <w:sz w:val="26"/>
          <w:szCs w:val="26"/>
        </w:rPr>
        <w:t>в сумме</w:t>
      </w:r>
      <w:r w:rsidRPr="008435BF">
        <w:rPr>
          <w:color w:val="000000" w:themeColor="text1"/>
          <w:sz w:val="26"/>
          <w:szCs w:val="26"/>
        </w:rPr>
        <w:t xml:space="preserve"> 24 218,0 тыс. руб., в 2021 году </w:t>
      </w:r>
      <w:r w:rsidRPr="008435BF">
        <w:rPr>
          <w:sz w:val="26"/>
          <w:szCs w:val="26"/>
        </w:rPr>
        <w:t>в сумме</w:t>
      </w:r>
      <w:r w:rsidRPr="008435BF">
        <w:rPr>
          <w:color w:val="000000" w:themeColor="text1"/>
          <w:sz w:val="26"/>
          <w:szCs w:val="26"/>
        </w:rPr>
        <w:t xml:space="preserve"> 25 260,0 тыс</w:t>
      </w:r>
      <w:proofErr w:type="gramStart"/>
      <w:r w:rsidRPr="008435BF">
        <w:rPr>
          <w:color w:val="000000" w:themeColor="text1"/>
          <w:sz w:val="26"/>
          <w:szCs w:val="26"/>
        </w:rPr>
        <w:t>.р</w:t>
      </w:r>
      <w:proofErr w:type="gramEnd"/>
      <w:r w:rsidRPr="008435BF">
        <w:rPr>
          <w:color w:val="000000" w:themeColor="text1"/>
          <w:sz w:val="26"/>
          <w:szCs w:val="26"/>
        </w:rPr>
        <w:t xml:space="preserve">уб., в 2022 году </w:t>
      </w:r>
      <w:r w:rsidRPr="008435BF">
        <w:rPr>
          <w:sz w:val="26"/>
          <w:szCs w:val="26"/>
        </w:rPr>
        <w:t xml:space="preserve">в сумме </w:t>
      </w:r>
      <w:r w:rsidRPr="008435BF">
        <w:rPr>
          <w:color w:val="000000" w:themeColor="text1"/>
          <w:sz w:val="26"/>
          <w:szCs w:val="26"/>
        </w:rPr>
        <w:t xml:space="preserve">26 346,0 тыс.руб. </w:t>
      </w:r>
      <w:r w:rsidRPr="008435BF">
        <w:rPr>
          <w:sz w:val="26"/>
          <w:szCs w:val="26"/>
        </w:rPr>
        <w:t>(при ожидаемом поступлении за 2019 год в сумме 38 720,0 тыс. руб.)</w:t>
      </w:r>
      <w:r w:rsidRPr="008435BF">
        <w:rPr>
          <w:color w:val="000000" w:themeColor="text1"/>
          <w:sz w:val="26"/>
          <w:szCs w:val="26"/>
        </w:rPr>
        <w:t xml:space="preserve">. </w:t>
      </w:r>
      <w:proofErr w:type="gramStart"/>
      <w:r w:rsidRPr="008435BF">
        <w:rPr>
          <w:color w:val="000000" w:themeColor="text1"/>
          <w:sz w:val="26"/>
          <w:szCs w:val="26"/>
        </w:rPr>
        <w:t>Согласно</w:t>
      </w:r>
      <w:proofErr w:type="gramEnd"/>
      <w:r w:rsidRPr="008435BF">
        <w:rPr>
          <w:color w:val="000000" w:themeColor="text1"/>
          <w:sz w:val="26"/>
          <w:szCs w:val="26"/>
        </w:rPr>
        <w:t xml:space="preserve"> утвержденной схемы размещения в 2019 году сократилось количество нестационарных торговых объектов и изменились правила оплаты за размещение.</w:t>
      </w:r>
    </w:p>
    <w:p w:rsidR="00885F6A" w:rsidRDefault="00885F6A" w:rsidP="00885F6A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b/>
          <w:sz w:val="26"/>
          <w:szCs w:val="26"/>
          <w:highlight w:val="yellow"/>
          <w:lang w:eastAsia="en-US"/>
        </w:rPr>
      </w:pPr>
    </w:p>
    <w:p w:rsidR="00D852EB" w:rsidRDefault="00D852EB" w:rsidP="00885F6A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D852EB" w:rsidRDefault="00D852EB" w:rsidP="00885F6A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885F6A" w:rsidRPr="00BF47EE" w:rsidRDefault="00885F6A" w:rsidP="00885F6A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BF47EE">
        <w:rPr>
          <w:rFonts w:eastAsiaTheme="minorHAnsi"/>
          <w:b/>
          <w:sz w:val="26"/>
          <w:szCs w:val="26"/>
          <w:lang w:eastAsia="en-US"/>
        </w:rPr>
        <w:lastRenderedPageBreak/>
        <w:t>Доходы от сдачи в аренду имущества, составляющего казну городских округов (за исключением земельных участков)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 xml:space="preserve">Доходы от сдачи в аренду имущества, составляющего казну Новокузнецкого городского округа (за исключением земельных участков), запланированы на 2020-2022 годы в сумме 55 000,0 тыс. руб. ежегодно, при ожидаемом поступлении за 2019 год в сумме 65 000 тыс. руб., по данным администратора доходов - Комитета по управлению муниципальным имуществом. </w:t>
      </w:r>
    </w:p>
    <w:p w:rsidR="00885F6A" w:rsidRPr="00BF47EE" w:rsidRDefault="00885F6A" w:rsidP="00885F6A">
      <w:pPr>
        <w:autoSpaceDE w:val="0"/>
        <w:autoSpaceDN w:val="0"/>
        <w:adjustRightInd w:val="0"/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BF47EE">
        <w:rPr>
          <w:sz w:val="26"/>
          <w:szCs w:val="26"/>
        </w:rPr>
        <w:t>Снижение прогнозируемых показателей обусловлено уменьшением общего объема сдаваемых в аренду площадей, в связи с приватизацией помещений в результате использования преимущественного права на приобретение арендуемого муниципального имущества.</w:t>
      </w:r>
    </w:p>
    <w:p w:rsidR="00885F6A" w:rsidRPr="00BF47EE" w:rsidRDefault="00885F6A" w:rsidP="00885F6A">
      <w:pPr>
        <w:pStyle w:val="afd"/>
        <w:spacing w:line="276" w:lineRule="auto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885F6A" w:rsidRPr="00BF47EE" w:rsidRDefault="00885F6A" w:rsidP="00885F6A">
      <w:pPr>
        <w:pStyle w:val="ac"/>
        <w:spacing w:line="276" w:lineRule="auto"/>
        <w:contextualSpacing/>
        <w:rPr>
          <w:sz w:val="26"/>
          <w:szCs w:val="26"/>
        </w:rPr>
      </w:pPr>
      <w:r w:rsidRPr="00BF47EE">
        <w:rPr>
          <w:sz w:val="26"/>
          <w:szCs w:val="26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</w:t>
      </w:r>
    </w:p>
    <w:p w:rsidR="00885F6A" w:rsidRPr="00BF47EE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 xml:space="preserve">По прогнозным данным главного администратора доходов - Комитета по управлению муниципальным имуществом сумма доходов от перечисления части прибыли на 2020 год планируется в размере 700,0 тыс. руб. на 2021 и 2022 годы в размере 800,0 тыс. руб. ежегодно. </w:t>
      </w:r>
    </w:p>
    <w:p w:rsidR="00885F6A" w:rsidRPr="00BF47EE" w:rsidRDefault="00885F6A" w:rsidP="00885F6A">
      <w:pPr>
        <w:spacing w:line="276" w:lineRule="auto"/>
        <w:ind w:firstLine="851"/>
        <w:contextualSpacing/>
        <w:jc w:val="both"/>
        <w:rPr>
          <w:sz w:val="26"/>
          <w:szCs w:val="26"/>
          <w:highlight w:val="yellow"/>
        </w:rPr>
      </w:pPr>
    </w:p>
    <w:p w:rsidR="00885F6A" w:rsidRPr="00BF47EE" w:rsidRDefault="00885F6A" w:rsidP="00885F6A">
      <w:pPr>
        <w:spacing w:line="276" w:lineRule="auto"/>
        <w:jc w:val="center"/>
        <w:rPr>
          <w:b/>
          <w:sz w:val="26"/>
          <w:szCs w:val="26"/>
        </w:rPr>
      </w:pPr>
      <w:r w:rsidRPr="00BF47EE">
        <w:rPr>
          <w:b/>
          <w:sz w:val="26"/>
          <w:szCs w:val="26"/>
        </w:rPr>
        <w:t>Платежи при пользовании природными ресурсами</w:t>
      </w:r>
    </w:p>
    <w:p w:rsidR="00885F6A" w:rsidRPr="00BF47EE" w:rsidRDefault="00885F6A" w:rsidP="00885F6A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 xml:space="preserve">С 1 января 2020 года норматив зачисления в местный бюджет платы за негативное воздействие на окружающую среду увеличивается с 55 % до 60 % </w:t>
      </w:r>
      <w:r w:rsidRPr="00BF47EE">
        <w:rPr>
          <w:rFonts w:eastAsiaTheme="minorHAnsi"/>
          <w:sz w:val="26"/>
          <w:szCs w:val="26"/>
        </w:rPr>
        <w:t xml:space="preserve">в соответствии с Федеральным </w:t>
      </w:r>
      <w:hyperlink r:id="rId11" w:history="1">
        <w:r w:rsidRPr="00BF47EE">
          <w:rPr>
            <w:rFonts w:eastAsiaTheme="minorHAnsi"/>
            <w:sz w:val="26"/>
            <w:szCs w:val="26"/>
          </w:rPr>
          <w:t>законом</w:t>
        </w:r>
      </w:hyperlink>
      <w:r w:rsidRPr="00BF47EE">
        <w:rPr>
          <w:rFonts w:eastAsiaTheme="minorHAnsi"/>
          <w:sz w:val="26"/>
          <w:szCs w:val="26"/>
        </w:rPr>
        <w:t xml:space="preserve"> от 15.04.2019г № 62-ФЗ «</w:t>
      </w:r>
      <w:r w:rsidRPr="00BF47EE">
        <w:rPr>
          <w:rFonts w:eastAsiaTheme="minorHAnsi"/>
          <w:sz w:val="26"/>
          <w:szCs w:val="26"/>
          <w:lang w:eastAsia="en-US"/>
        </w:rPr>
        <w:t>О внесении изменений в Бюджетный кодекс Российской</w:t>
      </w:r>
      <w:r>
        <w:rPr>
          <w:rFonts w:eastAsiaTheme="minorHAnsi"/>
          <w:sz w:val="26"/>
          <w:szCs w:val="26"/>
          <w:lang w:eastAsia="en-US"/>
        </w:rPr>
        <w:t xml:space="preserve"> Федерации</w:t>
      </w:r>
      <w:r w:rsidRPr="00BF47EE">
        <w:rPr>
          <w:rFonts w:eastAsiaTheme="minorHAnsi"/>
          <w:sz w:val="26"/>
          <w:szCs w:val="26"/>
          <w:lang w:eastAsia="en-US"/>
        </w:rPr>
        <w:t>»</w:t>
      </w:r>
      <w:r w:rsidRPr="00BF47EE">
        <w:rPr>
          <w:sz w:val="26"/>
          <w:szCs w:val="26"/>
        </w:rPr>
        <w:t xml:space="preserve">. 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BF47EE">
        <w:rPr>
          <w:sz w:val="26"/>
          <w:szCs w:val="26"/>
        </w:rPr>
        <w:t>Прогноз платы за негативное воздействие на окружающую среду составлен главным администратором дохода - Управлением Федеральной службы по надзору в сфере природопользования по Кемеровской области на 2020 год в сумме 69 822,4 тыс. руб., при ожидаемом поступлении в текущем году в сумме 63 001,6 тыс. руб. и нормативе отчислений в местный бюджет в размере 55 %.</w:t>
      </w:r>
      <w:proofErr w:type="gramEnd"/>
    </w:p>
    <w:p w:rsidR="00885F6A" w:rsidRPr="00BF47EE" w:rsidRDefault="00885F6A" w:rsidP="00885F6A">
      <w:pPr>
        <w:pStyle w:val="af"/>
        <w:spacing w:line="276" w:lineRule="auto"/>
        <w:ind w:left="0"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Поступление платы за негативное воздействие на окружающую среду на 2021 год и 2022 год  планируется в сумме 72 615,2 тыс. руб. и 70 519,8 тыс. руб. соответственно.</w:t>
      </w:r>
    </w:p>
    <w:p w:rsidR="00885F6A" w:rsidRPr="00BF47EE" w:rsidRDefault="00885F6A" w:rsidP="00885F6A">
      <w:pPr>
        <w:spacing w:line="276" w:lineRule="auto"/>
        <w:contextualSpacing/>
        <w:jc w:val="center"/>
        <w:rPr>
          <w:b/>
          <w:sz w:val="26"/>
          <w:szCs w:val="26"/>
        </w:rPr>
      </w:pPr>
    </w:p>
    <w:p w:rsidR="00885F6A" w:rsidRDefault="00885F6A" w:rsidP="00885F6A">
      <w:pPr>
        <w:spacing w:line="276" w:lineRule="auto"/>
        <w:contextualSpacing/>
        <w:jc w:val="center"/>
        <w:rPr>
          <w:b/>
          <w:sz w:val="26"/>
          <w:szCs w:val="26"/>
        </w:rPr>
      </w:pPr>
      <w:r w:rsidRPr="00BF47EE">
        <w:rPr>
          <w:b/>
          <w:sz w:val="26"/>
          <w:szCs w:val="26"/>
        </w:rPr>
        <w:t xml:space="preserve">Доходы бюджетов городских округов от оказания платных услуг </w:t>
      </w:r>
    </w:p>
    <w:p w:rsidR="00885F6A" w:rsidRPr="00BF47EE" w:rsidRDefault="00885F6A" w:rsidP="00885F6A">
      <w:pPr>
        <w:spacing w:line="276" w:lineRule="auto"/>
        <w:contextualSpacing/>
        <w:jc w:val="center"/>
        <w:rPr>
          <w:b/>
          <w:sz w:val="26"/>
          <w:szCs w:val="26"/>
        </w:rPr>
      </w:pPr>
      <w:r w:rsidRPr="00BF47EE">
        <w:rPr>
          <w:b/>
          <w:sz w:val="26"/>
          <w:szCs w:val="26"/>
        </w:rPr>
        <w:t>и компенсации затрат</w:t>
      </w:r>
    </w:p>
    <w:p w:rsidR="00885F6A" w:rsidRPr="00BF47EE" w:rsidRDefault="00885F6A" w:rsidP="00885F6A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proofErr w:type="gramStart"/>
      <w:r w:rsidRPr="00BF47EE">
        <w:rPr>
          <w:sz w:val="26"/>
          <w:szCs w:val="26"/>
        </w:rPr>
        <w:t>Доходы бюджета Новокузнецкого городского округа от оказания платных услуг и компенсации затрат запланированы на 2020 год в сумме 42 694,0 тыс. руб. (при ожидаемом поступлении за 2019 год в сумме 44 441,0 тыс. руб.), в 202</w:t>
      </w:r>
      <w:r>
        <w:rPr>
          <w:sz w:val="26"/>
          <w:szCs w:val="26"/>
        </w:rPr>
        <w:t>1</w:t>
      </w:r>
      <w:r w:rsidRPr="00BF47EE">
        <w:rPr>
          <w:sz w:val="26"/>
          <w:szCs w:val="26"/>
        </w:rPr>
        <w:t xml:space="preserve"> и 202</w:t>
      </w:r>
      <w:r>
        <w:rPr>
          <w:sz w:val="26"/>
          <w:szCs w:val="26"/>
        </w:rPr>
        <w:t>2</w:t>
      </w:r>
      <w:r w:rsidRPr="00BF47EE">
        <w:rPr>
          <w:sz w:val="26"/>
          <w:szCs w:val="26"/>
        </w:rPr>
        <w:t xml:space="preserve"> годах в сумме 42 719,0 тыс. руб. и 42 746,0 тыс. руб. соответственно, в том числе:</w:t>
      </w:r>
      <w:proofErr w:type="gramEnd"/>
    </w:p>
    <w:p w:rsidR="00885F6A" w:rsidRPr="008435BF" w:rsidRDefault="00885F6A" w:rsidP="008435BF">
      <w:pPr>
        <w:pStyle w:val="af1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435BF">
        <w:rPr>
          <w:sz w:val="26"/>
          <w:szCs w:val="26"/>
        </w:rPr>
        <w:t>доходы от оказания информационных услуг в 2020 году в сумме 587,0 тыс. руб. (при ожидаемом поступлении за 2019 год в сумме 563,0 тыс. руб.), в 2021 и 2022 годах в сумме 612,0 тыс</w:t>
      </w:r>
      <w:proofErr w:type="gramStart"/>
      <w:r w:rsidRPr="008435BF">
        <w:rPr>
          <w:sz w:val="26"/>
          <w:szCs w:val="26"/>
        </w:rPr>
        <w:t>.р</w:t>
      </w:r>
      <w:proofErr w:type="gramEnd"/>
      <w:r w:rsidRPr="008435BF">
        <w:rPr>
          <w:sz w:val="26"/>
          <w:szCs w:val="26"/>
        </w:rPr>
        <w:t xml:space="preserve">уб. и 639,0 тыс.руб. соответственно. Прогноз составлен по </w:t>
      </w:r>
      <w:r w:rsidRPr="008435BF">
        <w:rPr>
          <w:sz w:val="26"/>
          <w:szCs w:val="26"/>
        </w:rPr>
        <w:lastRenderedPageBreak/>
        <w:t xml:space="preserve">данным администратора доходов - </w:t>
      </w:r>
      <w:r w:rsidRPr="008435BF">
        <w:rPr>
          <w:color w:val="000000" w:themeColor="text1"/>
          <w:sz w:val="26"/>
          <w:szCs w:val="26"/>
        </w:rPr>
        <w:t>к</w:t>
      </w:r>
      <w:r w:rsidRPr="008435BF">
        <w:rPr>
          <w:sz w:val="26"/>
          <w:szCs w:val="26"/>
        </w:rPr>
        <w:t>омитета градостроительства и земельных ресурсов администрации города Новокузнецка;</w:t>
      </w:r>
    </w:p>
    <w:p w:rsidR="00885F6A" w:rsidRPr="008435BF" w:rsidRDefault="00885F6A" w:rsidP="008435BF">
      <w:pPr>
        <w:pStyle w:val="af1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435BF">
        <w:rPr>
          <w:sz w:val="26"/>
          <w:szCs w:val="26"/>
        </w:rPr>
        <w:t>прочие доходы от оказания платных услуг на 2020 год рассчитаны администраторами доходов – комитетом образования и науки, комитетом социальной защиты администрации города Новокузнецка с учетом стоимости и объемов планируемых к оказанию услуг. В 2020-2022 гг. планируется получить 21 251,0 тыс. руб. ежегодно (при ожидаемом поступлении за 2019 год в сумме 23 951,7 тыс</w:t>
      </w:r>
      <w:proofErr w:type="gramStart"/>
      <w:r w:rsidRPr="008435BF">
        <w:rPr>
          <w:sz w:val="26"/>
          <w:szCs w:val="26"/>
        </w:rPr>
        <w:t>.р</w:t>
      </w:r>
      <w:proofErr w:type="gramEnd"/>
      <w:r w:rsidRPr="008435BF">
        <w:rPr>
          <w:sz w:val="26"/>
          <w:szCs w:val="26"/>
        </w:rPr>
        <w:t xml:space="preserve">уб.). </w:t>
      </w:r>
    </w:p>
    <w:p w:rsidR="00885F6A" w:rsidRPr="008435BF" w:rsidRDefault="00885F6A" w:rsidP="008435BF">
      <w:pPr>
        <w:pStyle w:val="af1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435BF">
        <w:rPr>
          <w:sz w:val="26"/>
          <w:szCs w:val="26"/>
        </w:rPr>
        <w:t>прогнозы по доходам, поступающим в порядке возмещения расходов, понесенных в связи с эксплуатацией имущества городских округов, и прочим доходам от компенсации затрат на 2020-2022 годы запланированы на основании показателей, предоставленных администраторами доходов (администрациями районов и города Новокузнецка, комитетами образования и науки, социальной защиты администрации города Новокузнецка и управлением дорожно-коммунального хозяйства и благоустройства) сумме 2 868,0 тыс</w:t>
      </w:r>
      <w:proofErr w:type="gramStart"/>
      <w:r w:rsidRPr="008435BF">
        <w:rPr>
          <w:sz w:val="26"/>
          <w:szCs w:val="26"/>
        </w:rPr>
        <w:t>.р</w:t>
      </w:r>
      <w:proofErr w:type="gramEnd"/>
      <w:r w:rsidRPr="008435BF">
        <w:rPr>
          <w:sz w:val="26"/>
          <w:szCs w:val="26"/>
        </w:rPr>
        <w:t>уб. и 17 988,0 тыс. руб. соответственно, при ожидаемом поступлении за текущий год в размере 3 138,0 тыс</w:t>
      </w:r>
      <w:proofErr w:type="gramStart"/>
      <w:r w:rsidRPr="008435BF">
        <w:rPr>
          <w:sz w:val="26"/>
          <w:szCs w:val="26"/>
        </w:rPr>
        <w:t>.р</w:t>
      </w:r>
      <w:proofErr w:type="gramEnd"/>
      <w:r w:rsidRPr="008435BF">
        <w:rPr>
          <w:sz w:val="26"/>
          <w:szCs w:val="26"/>
        </w:rPr>
        <w:t>уб. и 16 788,3 тыс.руб., соответственно.</w:t>
      </w:r>
    </w:p>
    <w:p w:rsidR="00885F6A" w:rsidRPr="00BF47EE" w:rsidRDefault="00885F6A" w:rsidP="00885F6A">
      <w:pPr>
        <w:spacing w:line="276" w:lineRule="auto"/>
        <w:contextualSpacing/>
        <w:jc w:val="center"/>
        <w:outlineLvl w:val="0"/>
        <w:rPr>
          <w:b/>
          <w:sz w:val="26"/>
          <w:szCs w:val="26"/>
          <w:highlight w:val="yellow"/>
        </w:rPr>
      </w:pPr>
    </w:p>
    <w:p w:rsidR="00885F6A" w:rsidRPr="00BF47EE" w:rsidRDefault="00885F6A" w:rsidP="00885F6A">
      <w:pPr>
        <w:spacing w:line="276" w:lineRule="auto"/>
        <w:contextualSpacing/>
        <w:jc w:val="center"/>
        <w:outlineLvl w:val="0"/>
        <w:rPr>
          <w:b/>
          <w:sz w:val="26"/>
          <w:szCs w:val="26"/>
        </w:rPr>
      </w:pPr>
      <w:r w:rsidRPr="00BF47EE">
        <w:rPr>
          <w:b/>
          <w:sz w:val="26"/>
          <w:szCs w:val="26"/>
        </w:rPr>
        <w:t>Доходы от продажи материальных и нематериальных активов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 xml:space="preserve">Доходы от продажи материальных и нематериальных активов планируются на основе прогноза администратора доходов - </w:t>
      </w:r>
      <w:r>
        <w:rPr>
          <w:sz w:val="26"/>
          <w:szCs w:val="26"/>
        </w:rPr>
        <w:t>к</w:t>
      </w:r>
      <w:r w:rsidRPr="00BF47EE">
        <w:rPr>
          <w:sz w:val="26"/>
          <w:szCs w:val="26"/>
        </w:rPr>
        <w:t>омитета по управлению муниципальным имуществом.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Доходы от продажи материальных и нематериальных активов прогнозируются на 2020 год в сумме 17 000,0 тыс</w:t>
      </w:r>
      <w:proofErr w:type="gramStart"/>
      <w:r w:rsidRPr="00BF47EE">
        <w:rPr>
          <w:sz w:val="26"/>
          <w:szCs w:val="26"/>
        </w:rPr>
        <w:t>.р</w:t>
      </w:r>
      <w:proofErr w:type="gramEnd"/>
      <w:r w:rsidRPr="00BF47EE">
        <w:rPr>
          <w:sz w:val="26"/>
          <w:szCs w:val="26"/>
        </w:rPr>
        <w:t>уб., на 2021 год в сумме 16 000,0 тыс.руб., на 2022 год в сумме 15 000,0 тыс. руб. и включают следующие виды:</w:t>
      </w:r>
    </w:p>
    <w:p w:rsidR="00885F6A" w:rsidRPr="008435BF" w:rsidRDefault="00885F6A" w:rsidP="008435BF">
      <w:pPr>
        <w:pStyle w:val="af1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proofErr w:type="gramStart"/>
      <w:r w:rsidRPr="008435BF">
        <w:rPr>
          <w:sz w:val="26"/>
          <w:szCs w:val="26"/>
        </w:rPr>
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ежегодно в сумме 10 000,0 тыс. руб., при ожидаемом поступлении за 2019 год в сумме 17 000,0 тыс. руб.</w:t>
      </w:r>
      <w:proofErr w:type="gramEnd"/>
    </w:p>
    <w:p w:rsidR="00885F6A" w:rsidRPr="008435BF" w:rsidRDefault="00885F6A" w:rsidP="008435BF">
      <w:pPr>
        <w:pStyle w:val="af1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435BF">
        <w:rPr>
          <w:sz w:val="26"/>
          <w:szCs w:val="26"/>
        </w:rPr>
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 на 2020 год в сумме 7 000,0 тыс</w:t>
      </w:r>
      <w:proofErr w:type="gramStart"/>
      <w:r w:rsidRPr="008435BF">
        <w:rPr>
          <w:sz w:val="26"/>
          <w:szCs w:val="26"/>
        </w:rPr>
        <w:t>.р</w:t>
      </w:r>
      <w:proofErr w:type="gramEnd"/>
      <w:r w:rsidRPr="008435BF">
        <w:rPr>
          <w:sz w:val="26"/>
          <w:szCs w:val="26"/>
        </w:rPr>
        <w:t>уб., на 2021 год в сумме 6 000,0 тыс.руб., на 2022 год в сумме 5 000,0 тыс.руб., при ожидаемом поступлении за 2019 год в сумме 21 500,0 тыс. руб.</w:t>
      </w:r>
    </w:p>
    <w:p w:rsidR="00885F6A" w:rsidRPr="00BF47EE" w:rsidRDefault="00885F6A" w:rsidP="00885F6A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BF47EE">
        <w:rPr>
          <w:sz w:val="26"/>
          <w:szCs w:val="26"/>
        </w:rPr>
        <w:t>Снижение поступлений связано: с уменьшением количества ликвидных объектов недвижимого имущества; спадом обращений и отсутствием заявок на приобретение земельных участков в собственность.</w:t>
      </w:r>
    </w:p>
    <w:p w:rsidR="00885F6A" w:rsidRPr="00BF47EE" w:rsidRDefault="00885F6A" w:rsidP="00885F6A">
      <w:pPr>
        <w:spacing w:line="276" w:lineRule="auto"/>
        <w:ind w:firstLine="851"/>
        <w:contextualSpacing/>
        <w:jc w:val="both"/>
        <w:rPr>
          <w:sz w:val="26"/>
          <w:szCs w:val="26"/>
          <w:highlight w:val="yellow"/>
        </w:rPr>
      </w:pPr>
    </w:p>
    <w:p w:rsidR="00885F6A" w:rsidRPr="00BF47EE" w:rsidRDefault="00885F6A" w:rsidP="00885F6A">
      <w:pPr>
        <w:pStyle w:val="af"/>
        <w:spacing w:line="276" w:lineRule="auto"/>
        <w:ind w:left="0"/>
        <w:jc w:val="center"/>
        <w:rPr>
          <w:b/>
          <w:sz w:val="26"/>
          <w:szCs w:val="26"/>
        </w:rPr>
      </w:pPr>
      <w:r w:rsidRPr="00BF47EE">
        <w:rPr>
          <w:b/>
          <w:sz w:val="26"/>
          <w:szCs w:val="26"/>
        </w:rPr>
        <w:t>Штрафы, санкции, возмещение ущерба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 xml:space="preserve">Прогноз поступлений по доходам от штрафов, санкций, возмещения ущерба определён в соответствии с изменениями, внесёнными в статью 46 Бюджетного </w:t>
      </w:r>
      <w:r w:rsidRPr="00BF47EE">
        <w:rPr>
          <w:sz w:val="26"/>
          <w:szCs w:val="26"/>
        </w:rPr>
        <w:lastRenderedPageBreak/>
        <w:t>кодекса Российской Федерации (Федеральный закон от 15.04.2019</w:t>
      </w:r>
      <w:r w:rsidR="00BC0526">
        <w:rPr>
          <w:sz w:val="26"/>
          <w:szCs w:val="26"/>
        </w:rPr>
        <w:t>г.</w:t>
      </w:r>
      <w:r w:rsidRPr="00BF47EE">
        <w:rPr>
          <w:sz w:val="26"/>
          <w:szCs w:val="26"/>
        </w:rPr>
        <w:t xml:space="preserve"> № 62-ФЗ), в разрезе видов штрафов, с учётом предложений главных администраторов доходов. 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Внесенные изменения предусматривают с 01.01.2020</w:t>
      </w:r>
      <w:r w:rsidR="00BC0526">
        <w:rPr>
          <w:sz w:val="26"/>
          <w:szCs w:val="26"/>
        </w:rPr>
        <w:t>г.</w:t>
      </w:r>
      <w:r w:rsidRPr="00BF47EE">
        <w:rPr>
          <w:sz w:val="26"/>
          <w:szCs w:val="26"/>
        </w:rPr>
        <w:t xml:space="preserve"> новый принцип зачисления доходов от штрафов в бюджеты бюджетной системы Российской Федерации – доходы будут поступать в бюджет, который финансирует работу органа, налагающего штраф.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 xml:space="preserve">Прогноз поступлений штрафов, санкций, возмещения ущерба на 2020 год запланирован, исходя из динамики поступлений в 2019 году, данных администраторов поступлений и с учетом измененной </w:t>
      </w:r>
      <w:hyperlink r:id="rId12" w:history="1">
        <w:r w:rsidRPr="00BF47EE">
          <w:rPr>
            <w:sz w:val="26"/>
            <w:szCs w:val="26"/>
          </w:rPr>
          <w:t>статьи 46</w:t>
        </w:r>
      </w:hyperlink>
      <w:r w:rsidRPr="00BF47EE">
        <w:rPr>
          <w:sz w:val="26"/>
          <w:szCs w:val="26"/>
        </w:rPr>
        <w:t xml:space="preserve"> Бюджетного кодекса Российской Федерации в сумме 27 267,8 тыс. руб., в том числе основные из них:</w:t>
      </w:r>
    </w:p>
    <w:p w:rsidR="00885F6A" w:rsidRPr="00B95881" w:rsidRDefault="00885F6A" w:rsidP="00B95881">
      <w:pPr>
        <w:pStyle w:val="af1"/>
        <w:numPr>
          <w:ilvl w:val="0"/>
          <w:numId w:val="15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95881">
        <w:rPr>
          <w:sz w:val="26"/>
          <w:szCs w:val="26"/>
        </w:rPr>
        <w:t>денежные взыскания (штрафы) по неосновательному обогащению за пользование земельными участками в сумме 15 945,0 тыс. руб. (администратор поступлений - комитет градостроительства и земельных ресурсов администрации города Новокузнецка);</w:t>
      </w:r>
    </w:p>
    <w:p w:rsidR="00885F6A" w:rsidRPr="00B95881" w:rsidRDefault="00885F6A" w:rsidP="00B95881">
      <w:pPr>
        <w:pStyle w:val="af1"/>
        <w:numPr>
          <w:ilvl w:val="0"/>
          <w:numId w:val="15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95881">
        <w:rPr>
          <w:sz w:val="26"/>
          <w:szCs w:val="26"/>
        </w:rPr>
        <w:t>суммы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 в размере 5 750,0 тыс. руб. (администратор поступлений - управление дорожно-коммунального хозяйства и благоустройства администрации города Новокузнецка);</w:t>
      </w:r>
    </w:p>
    <w:p w:rsidR="00885F6A" w:rsidRPr="00B95881" w:rsidRDefault="00885F6A" w:rsidP="00B95881">
      <w:pPr>
        <w:pStyle w:val="af1"/>
        <w:numPr>
          <w:ilvl w:val="0"/>
          <w:numId w:val="15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B95881">
        <w:rPr>
          <w:sz w:val="26"/>
          <w:szCs w:val="26"/>
        </w:rPr>
        <w:t>прочие поступления от денежных взысканий (штрафов) и иных сумм в возмещение ущерба в сумме 5 572,8 тыс. руб.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 xml:space="preserve">Ожидаемое поступление в текущем году от штрафов составляет в сумме 84 045,0 тыс. руб., что </w:t>
      </w:r>
      <w:r w:rsidR="001102FA">
        <w:rPr>
          <w:sz w:val="26"/>
          <w:szCs w:val="26"/>
        </w:rPr>
        <w:t>в 3 раза выше</w:t>
      </w:r>
      <w:r w:rsidRPr="00BF47EE">
        <w:rPr>
          <w:sz w:val="26"/>
          <w:szCs w:val="26"/>
        </w:rPr>
        <w:t xml:space="preserve"> прогнозируемого периода и связано с изменением законодательства.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Поступление штрафов, санкций, возмещения ущерба в 2020 и 2021 годах составят 27 795,0 тыс. руб. и 28 528,7 тыс. руб., соответственно.</w:t>
      </w:r>
    </w:p>
    <w:p w:rsidR="00885F6A" w:rsidRPr="00BF47EE" w:rsidRDefault="00885F6A" w:rsidP="00885F6A">
      <w:pPr>
        <w:spacing w:line="276" w:lineRule="auto"/>
        <w:ind w:firstLine="567"/>
        <w:rPr>
          <w:sz w:val="26"/>
          <w:szCs w:val="26"/>
          <w:highlight w:val="yellow"/>
        </w:rPr>
      </w:pPr>
    </w:p>
    <w:p w:rsidR="00885F6A" w:rsidRPr="00BF47EE" w:rsidRDefault="00885F6A" w:rsidP="00885F6A">
      <w:pPr>
        <w:spacing w:line="276" w:lineRule="auto"/>
        <w:contextualSpacing/>
        <w:jc w:val="center"/>
        <w:rPr>
          <w:b/>
          <w:bCs/>
          <w:sz w:val="26"/>
          <w:szCs w:val="26"/>
        </w:rPr>
      </w:pPr>
      <w:r w:rsidRPr="00BF47EE">
        <w:rPr>
          <w:b/>
          <w:bCs/>
          <w:sz w:val="26"/>
          <w:szCs w:val="26"/>
        </w:rPr>
        <w:t xml:space="preserve">Безвозмездные поступления 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BF47EE">
        <w:rPr>
          <w:sz w:val="26"/>
          <w:szCs w:val="26"/>
        </w:rPr>
        <w:t>В соответствии с проектом закона Кемеровской области-Кузбасса «Об областном бюджете на 2020 год и на плановый период 2021 и 2022 годов» (1 чтение), в бюджете Новокузнецкого городского округа межбюджетные трансферты запланированы на 2020 год в сумме 12 110 242,5 тыс. рублей, на 2021 год в сумме 10 155 852,2 тыс. рублей, на 2022 год в сумме 8 789 012,7 тыс</w:t>
      </w:r>
      <w:proofErr w:type="gramEnd"/>
      <w:r w:rsidRPr="00BF47EE">
        <w:rPr>
          <w:sz w:val="26"/>
          <w:szCs w:val="26"/>
        </w:rPr>
        <w:t xml:space="preserve">. рублей. 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 xml:space="preserve">Из общей суммы безвозмездных поступлений из </w:t>
      </w:r>
      <w:proofErr w:type="gramStart"/>
      <w:r w:rsidRPr="00BF47EE">
        <w:rPr>
          <w:sz w:val="26"/>
          <w:szCs w:val="26"/>
        </w:rPr>
        <w:t>областного</w:t>
      </w:r>
      <w:proofErr w:type="gramEnd"/>
      <w:r w:rsidRPr="00BF47EE">
        <w:rPr>
          <w:sz w:val="26"/>
          <w:szCs w:val="26"/>
        </w:rPr>
        <w:t xml:space="preserve"> бюджета предусмотрены: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на 2020 год дотация бюджетам городских округов на выравнивание бюджетной обеспеченности в сумме 3 302 538,0 тыс. руб., субсидии в сумме 523 758,5 тыс. руб., субвенции в сумме 7 529 181,3 тыс. руб., иные межбюджетные трансферты в сумме 754 764,7 тыс. руб.;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на 2021 год дотация бюджетам городских округов на выравнивание бюджетной обеспеченности в сумме 1 154 040,0 тыс. руб., субсидии в сумме  866 233,1 тыс. руб., субвенции в сумме 7 548 734,1 тыс. руб., иные межбюджетные трансферты в сумме 586 845,0 тыс. руб.;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lastRenderedPageBreak/>
        <w:t xml:space="preserve">на 2022 год дотация бюджетам городских округов на выравнивание бюджетной обеспеченности в сумме 845 625,0 тыс. руб., субсидии в сумме  372 735,6 тыс. руб., субвенции в сумме 7 570 652,1 тыс. руб. На 2022 год не </w:t>
      </w:r>
      <w:proofErr w:type="spellStart"/>
      <w:r w:rsidRPr="00BF47EE">
        <w:rPr>
          <w:sz w:val="26"/>
          <w:szCs w:val="26"/>
        </w:rPr>
        <w:t>предусматрено</w:t>
      </w:r>
      <w:proofErr w:type="spellEnd"/>
      <w:r w:rsidRPr="00BF47EE">
        <w:rPr>
          <w:sz w:val="26"/>
          <w:szCs w:val="26"/>
        </w:rPr>
        <w:t xml:space="preserve"> иных межбюджетных трансфертов. 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Прочие безвозмездные поступления, в соответствии с прогнозами главных администраторов доходов бюджета, предусмотрены на 2020 год в сумме 44 950,0  тыс. рублей, на 2021 год в сумме 44 950,0 тыс. руб. и на 2022 год в сумме 19 858,0 тыс. рублей. В том числе на 2020 и 2021 годы в сумме 25 200,0 тыс. руб. ежегодно планируются поступления в соответствии с программой «Формирование современной городской среды на территории Новокузнецкого городского округа на 2018-2024 годы», предусматривающей долю финансового участия заинтересованных лиц в выполнении мероприятий по благоустройству дворовых территорий многоквартирных домов.</w:t>
      </w:r>
    </w:p>
    <w:p w:rsidR="00885F6A" w:rsidRPr="00BF47EE" w:rsidRDefault="00885F6A" w:rsidP="00885F6A">
      <w:pPr>
        <w:spacing w:line="276" w:lineRule="auto"/>
        <w:ind w:firstLine="567"/>
        <w:jc w:val="both"/>
        <w:rPr>
          <w:sz w:val="26"/>
          <w:szCs w:val="26"/>
        </w:rPr>
      </w:pPr>
      <w:r w:rsidRPr="00BF47EE">
        <w:rPr>
          <w:sz w:val="26"/>
          <w:szCs w:val="26"/>
        </w:rPr>
        <w:t>В бюджете 2019 года данные поступления планировались как прочие безвозмездные поступления от негосударственных организаций в бюджеты городских округов (средства собственников многоквартирных домов на выполнение минимального, дополнительного перечня работ по благоустройству дворовых территорий) (ожидаемое поступление за 2019 год в сумме 11 744,5 тыс. руб.).</w:t>
      </w:r>
    </w:p>
    <w:p w:rsidR="00885F6A" w:rsidRPr="008117D2" w:rsidRDefault="00885F6A" w:rsidP="00885F6A">
      <w:pPr>
        <w:contextualSpacing/>
        <w:jc w:val="center"/>
        <w:rPr>
          <w:b/>
          <w:sz w:val="26"/>
          <w:szCs w:val="26"/>
        </w:rPr>
      </w:pPr>
      <w:r w:rsidRPr="008117D2">
        <w:rPr>
          <w:b/>
          <w:sz w:val="26"/>
          <w:szCs w:val="26"/>
        </w:rPr>
        <w:t>Прогноз выпадающих доходов бюджета Новокузнецкого городского округа</w:t>
      </w:r>
    </w:p>
    <w:p w:rsidR="00885F6A" w:rsidRPr="008117D2" w:rsidRDefault="00885F6A" w:rsidP="00885F6A">
      <w:pPr>
        <w:ind w:firstLine="851"/>
        <w:contextualSpacing/>
        <w:jc w:val="both"/>
        <w:rPr>
          <w:sz w:val="28"/>
          <w:szCs w:val="28"/>
        </w:rPr>
      </w:pPr>
    </w:p>
    <w:p w:rsidR="00885F6A" w:rsidRPr="008117D2" w:rsidRDefault="00885F6A" w:rsidP="00885F6A">
      <w:pPr>
        <w:ind w:firstLine="851"/>
        <w:contextualSpacing/>
        <w:jc w:val="both"/>
        <w:rPr>
          <w:sz w:val="26"/>
          <w:szCs w:val="26"/>
        </w:rPr>
      </w:pPr>
      <w:r w:rsidRPr="008117D2">
        <w:rPr>
          <w:sz w:val="26"/>
          <w:szCs w:val="26"/>
        </w:rPr>
        <w:t>В соответствии с действующими нормативно правовыми актами, выпадающие доходы бюджета Новокузнецкого городского округа в 20</w:t>
      </w:r>
      <w:r w:rsidR="008B6F27">
        <w:rPr>
          <w:sz w:val="26"/>
          <w:szCs w:val="26"/>
        </w:rPr>
        <w:t>19</w:t>
      </w:r>
      <w:r w:rsidRPr="008117D2">
        <w:rPr>
          <w:sz w:val="26"/>
          <w:szCs w:val="26"/>
        </w:rPr>
        <w:t xml:space="preserve"> году составят </w:t>
      </w:r>
      <w:r w:rsidR="00197604">
        <w:rPr>
          <w:sz w:val="26"/>
          <w:szCs w:val="26"/>
        </w:rPr>
        <w:t>669 001,9</w:t>
      </w:r>
      <w:r w:rsidRPr="008117D2">
        <w:rPr>
          <w:sz w:val="26"/>
          <w:szCs w:val="26"/>
        </w:rPr>
        <w:t xml:space="preserve"> тыс.</w:t>
      </w:r>
      <w:r w:rsidR="008B6F27">
        <w:rPr>
          <w:sz w:val="26"/>
          <w:szCs w:val="26"/>
        </w:rPr>
        <w:t xml:space="preserve"> </w:t>
      </w:r>
      <w:r w:rsidRPr="008117D2">
        <w:rPr>
          <w:sz w:val="26"/>
          <w:szCs w:val="26"/>
        </w:rPr>
        <w:t>руб., в 202</w:t>
      </w:r>
      <w:r w:rsidR="008B6F27">
        <w:rPr>
          <w:sz w:val="26"/>
          <w:szCs w:val="26"/>
        </w:rPr>
        <w:t>0</w:t>
      </w:r>
      <w:r w:rsidRPr="008117D2">
        <w:rPr>
          <w:sz w:val="26"/>
          <w:szCs w:val="26"/>
        </w:rPr>
        <w:t xml:space="preserve">-2022 годах составят </w:t>
      </w:r>
      <w:r w:rsidR="00197604">
        <w:rPr>
          <w:sz w:val="26"/>
          <w:szCs w:val="26"/>
        </w:rPr>
        <w:t>680 973,7</w:t>
      </w:r>
      <w:r w:rsidRPr="008117D2">
        <w:rPr>
          <w:sz w:val="26"/>
          <w:szCs w:val="26"/>
        </w:rPr>
        <w:t xml:space="preserve"> тыс. руб., в том числе по следующим поступлениям:</w:t>
      </w:r>
    </w:p>
    <w:p w:rsidR="00885F6A" w:rsidRPr="00DE4639" w:rsidRDefault="00885F6A" w:rsidP="00885F6A">
      <w:pPr>
        <w:ind w:firstLine="851"/>
        <w:contextualSpacing/>
        <w:jc w:val="right"/>
      </w:pPr>
      <w:r w:rsidRPr="00DE4639">
        <w:t xml:space="preserve"> (тыс. руб.)</w:t>
      </w:r>
    </w:p>
    <w:tbl>
      <w:tblPr>
        <w:tblW w:w="10065" w:type="dxa"/>
        <w:tblInd w:w="108" w:type="dxa"/>
        <w:tblLook w:val="04A0"/>
      </w:tblPr>
      <w:tblGrid>
        <w:gridCol w:w="3353"/>
        <w:gridCol w:w="1892"/>
        <w:gridCol w:w="1559"/>
        <w:gridCol w:w="1560"/>
        <w:gridCol w:w="1701"/>
      </w:tblGrid>
      <w:tr w:rsidR="00885F6A" w:rsidRPr="008B6F27" w:rsidTr="00197604">
        <w:trPr>
          <w:trHeight w:val="20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6A" w:rsidRPr="008B6F27" w:rsidRDefault="008B6F27" w:rsidP="00885F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6A" w:rsidRPr="008B6F27" w:rsidRDefault="00885F6A" w:rsidP="00885F6A">
            <w:pPr>
              <w:jc w:val="center"/>
              <w:rPr>
                <w:color w:val="000000"/>
              </w:rPr>
            </w:pPr>
            <w:r w:rsidRPr="008B6F27">
              <w:rPr>
                <w:color w:val="000000"/>
                <w:szCs w:val="22"/>
              </w:rPr>
              <w:t>2019</w:t>
            </w:r>
            <w:r w:rsidRPr="008B6F27">
              <w:rPr>
                <w:color w:val="00000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6A" w:rsidRPr="008B6F27" w:rsidRDefault="00885F6A" w:rsidP="00885F6A">
            <w:pPr>
              <w:jc w:val="center"/>
              <w:rPr>
                <w:color w:val="000000"/>
              </w:rPr>
            </w:pPr>
            <w:r w:rsidRPr="008B6F27">
              <w:rPr>
                <w:color w:val="000000"/>
                <w:szCs w:val="22"/>
              </w:rPr>
              <w:t>2020</w:t>
            </w:r>
            <w:r w:rsidRPr="008B6F27">
              <w:rPr>
                <w:color w:val="000000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6A" w:rsidRPr="008B6F27" w:rsidRDefault="00885F6A" w:rsidP="00885F6A">
            <w:pPr>
              <w:jc w:val="center"/>
              <w:rPr>
                <w:color w:val="000000"/>
              </w:rPr>
            </w:pPr>
            <w:r w:rsidRPr="008B6F27">
              <w:rPr>
                <w:color w:val="000000"/>
                <w:szCs w:val="22"/>
              </w:rPr>
              <w:t>2021</w:t>
            </w:r>
            <w:r w:rsidRPr="008B6F27">
              <w:rPr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6A" w:rsidRPr="008B6F27" w:rsidRDefault="00885F6A" w:rsidP="00885F6A">
            <w:pPr>
              <w:jc w:val="center"/>
              <w:rPr>
                <w:color w:val="000000"/>
              </w:rPr>
            </w:pPr>
            <w:r w:rsidRPr="008B6F27">
              <w:rPr>
                <w:color w:val="000000"/>
                <w:szCs w:val="22"/>
              </w:rPr>
              <w:t>2022</w:t>
            </w:r>
            <w:r w:rsidRPr="008B6F27">
              <w:rPr>
                <w:color w:val="000000"/>
              </w:rPr>
              <w:t xml:space="preserve"> год</w:t>
            </w:r>
          </w:p>
        </w:tc>
      </w:tr>
      <w:tr w:rsidR="00885F6A" w:rsidRPr="00C5324E" w:rsidTr="00197604">
        <w:trPr>
          <w:trHeight w:val="20"/>
        </w:trPr>
        <w:tc>
          <w:tcPr>
            <w:tcW w:w="3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F6A" w:rsidRPr="00C5324E" w:rsidRDefault="00885F6A" w:rsidP="00885F6A">
            <w:pPr>
              <w:rPr>
                <w:bCs/>
                <w:iCs/>
                <w:color w:val="000000"/>
              </w:rPr>
            </w:pPr>
            <w:r w:rsidRPr="00DE4639">
              <w:rPr>
                <w:bCs/>
                <w:iCs/>
                <w:color w:val="000000"/>
              </w:rPr>
              <w:t>З</w:t>
            </w:r>
            <w:r w:rsidRPr="00C5324E">
              <w:rPr>
                <w:bCs/>
                <w:iCs/>
                <w:color w:val="000000"/>
                <w:szCs w:val="22"/>
              </w:rPr>
              <w:t xml:space="preserve">емельный налог 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F6A" w:rsidRPr="00C5324E" w:rsidRDefault="00885F6A" w:rsidP="00885F6A">
            <w:pPr>
              <w:jc w:val="right"/>
              <w:rPr>
                <w:bCs/>
                <w:iCs/>
                <w:color w:val="000000"/>
              </w:rPr>
            </w:pPr>
            <w:r w:rsidRPr="00C5324E">
              <w:rPr>
                <w:bCs/>
                <w:iCs/>
                <w:color w:val="000000"/>
                <w:szCs w:val="22"/>
              </w:rPr>
              <w:t>454 667,0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F6A" w:rsidRPr="00C5324E" w:rsidRDefault="00885F6A" w:rsidP="00885F6A">
            <w:pPr>
              <w:jc w:val="right"/>
              <w:rPr>
                <w:bCs/>
                <w:iCs/>
                <w:color w:val="000000"/>
              </w:rPr>
            </w:pPr>
            <w:r w:rsidRPr="00C5324E">
              <w:rPr>
                <w:bCs/>
                <w:iCs/>
                <w:color w:val="000000"/>
                <w:szCs w:val="22"/>
              </w:rPr>
              <w:t>471 200,0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F6A" w:rsidRPr="00C5324E" w:rsidRDefault="00885F6A" w:rsidP="00885F6A">
            <w:pPr>
              <w:jc w:val="right"/>
              <w:rPr>
                <w:bCs/>
                <w:iCs/>
                <w:color w:val="000000"/>
              </w:rPr>
            </w:pPr>
            <w:r w:rsidRPr="00C5324E">
              <w:rPr>
                <w:bCs/>
                <w:iCs/>
                <w:color w:val="000000"/>
                <w:szCs w:val="22"/>
              </w:rPr>
              <w:t>471 200,0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F6A" w:rsidRPr="00C5324E" w:rsidRDefault="00885F6A" w:rsidP="00885F6A">
            <w:pPr>
              <w:jc w:val="right"/>
              <w:rPr>
                <w:bCs/>
                <w:iCs/>
                <w:color w:val="000000"/>
              </w:rPr>
            </w:pPr>
            <w:r w:rsidRPr="00C5324E">
              <w:rPr>
                <w:bCs/>
                <w:iCs/>
                <w:color w:val="000000"/>
                <w:szCs w:val="22"/>
              </w:rPr>
              <w:t>471 200,0</w:t>
            </w:r>
          </w:p>
        </w:tc>
      </w:tr>
      <w:tr w:rsidR="00885F6A" w:rsidRPr="00C5324E" w:rsidTr="00197604">
        <w:trPr>
          <w:trHeight w:val="20"/>
        </w:trPr>
        <w:tc>
          <w:tcPr>
            <w:tcW w:w="3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F6A" w:rsidRPr="00C5324E" w:rsidRDefault="00885F6A" w:rsidP="00885F6A">
            <w:pPr>
              <w:rPr>
                <w:bCs/>
                <w:iCs/>
                <w:color w:val="000000"/>
              </w:rPr>
            </w:pPr>
            <w:r w:rsidRPr="00DE4639">
              <w:rPr>
                <w:bCs/>
                <w:iCs/>
                <w:color w:val="000000"/>
              </w:rPr>
              <w:t>Н</w:t>
            </w:r>
            <w:r w:rsidRPr="00C5324E">
              <w:rPr>
                <w:bCs/>
                <w:iCs/>
                <w:color w:val="000000"/>
                <w:szCs w:val="22"/>
              </w:rPr>
              <w:t>алог на имущество</w:t>
            </w:r>
            <w:r w:rsidRPr="00DE4639">
              <w:rPr>
                <w:bCs/>
                <w:iCs/>
                <w:color w:val="000000"/>
              </w:rPr>
              <w:t xml:space="preserve"> физических лиц</w:t>
            </w:r>
            <w:r w:rsidRPr="00C5324E">
              <w:rPr>
                <w:bCs/>
                <w:iCs/>
                <w:color w:val="000000"/>
                <w:szCs w:val="22"/>
              </w:rPr>
              <w:t xml:space="preserve"> 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F6A" w:rsidRPr="00C5324E" w:rsidRDefault="00885F6A" w:rsidP="00885F6A">
            <w:pPr>
              <w:jc w:val="right"/>
              <w:rPr>
                <w:bCs/>
                <w:iCs/>
                <w:color w:val="000000"/>
              </w:rPr>
            </w:pPr>
            <w:r w:rsidRPr="00C5324E">
              <w:rPr>
                <w:bCs/>
                <w:iCs/>
                <w:color w:val="000000"/>
                <w:szCs w:val="22"/>
              </w:rPr>
              <w:t>678,1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F6A" w:rsidRPr="00C5324E" w:rsidRDefault="00885F6A" w:rsidP="00885F6A">
            <w:pPr>
              <w:jc w:val="right"/>
              <w:rPr>
                <w:bCs/>
                <w:iCs/>
                <w:color w:val="000000"/>
              </w:rPr>
            </w:pPr>
            <w:r w:rsidRPr="00C5324E">
              <w:rPr>
                <w:bCs/>
                <w:iCs/>
                <w:color w:val="000000"/>
                <w:szCs w:val="22"/>
              </w:rPr>
              <w:t>678,1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F6A" w:rsidRPr="00C5324E" w:rsidRDefault="00885F6A" w:rsidP="00885F6A">
            <w:pPr>
              <w:jc w:val="right"/>
              <w:rPr>
                <w:bCs/>
                <w:iCs/>
                <w:color w:val="000000"/>
              </w:rPr>
            </w:pPr>
            <w:r w:rsidRPr="00C5324E">
              <w:rPr>
                <w:bCs/>
                <w:iCs/>
                <w:color w:val="000000"/>
                <w:szCs w:val="22"/>
              </w:rPr>
              <w:t>678,1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F6A" w:rsidRPr="00C5324E" w:rsidRDefault="00885F6A" w:rsidP="00885F6A">
            <w:pPr>
              <w:jc w:val="right"/>
              <w:rPr>
                <w:bCs/>
                <w:iCs/>
                <w:color w:val="000000"/>
              </w:rPr>
            </w:pPr>
            <w:r w:rsidRPr="00C5324E">
              <w:rPr>
                <w:bCs/>
                <w:iCs/>
                <w:color w:val="000000"/>
                <w:szCs w:val="22"/>
              </w:rPr>
              <w:t>678,1</w:t>
            </w:r>
          </w:p>
        </w:tc>
      </w:tr>
      <w:tr w:rsidR="00885F6A" w:rsidRPr="00C5324E" w:rsidTr="00197604">
        <w:trPr>
          <w:trHeight w:val="20"/>
        </w:trPr>
        <w:tc>
          <w:tcPr>
            <w:tcW w:w="3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F6A" w:rsidRPr="00C5324E" w:rsidRDefault="00885F6A" w:rsidP="00885F6A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Доходы от а</w:t>
            </w:r>
            <w:r w:rsidRPr="005C380C">
              <w:rPr>
                <w:bCs/>
                <w:iCs/>
                <w:color w:val="000000"/>
              </w:rPr>
              <w:t>рендн</w:t>
            </w:r>
            <w:r>
              <w:rPr>
                <w:bCs/>
                <w:iCs/>
                <w:color w:val="000000"/>
              </w:rPr>
              <w:t>ой</w:t>
            </w:r>
            <w:r w:rsidRPr="005C380C">
              <w:rPr>
                <w:bCs/>
                <w:iCs/>
                <w:color w:val="000000"/>
              </w:rPr>
              <w:t xml:space="preserve">  плат</w:t>
            </w:r>
            <w:r>
              <w:rPr>
                <w:bCs/>
                <w:iCs/>
                <w:color w:val="000000"/>
              </w:rPr>
              <w:t>ы</w:t>
            </w:r>
            <w:r w:rsidRPr="005C380C">
              <w:rPr>
                <w:bCs/>
                <w:iCs/>
                <w:color w:val="000000"/>
              </w:rPr>
              <w:t xml:space="preserve"> за  земельные участки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F6A" w:rsidRPr="00C5324E" w:rsidRDefault="00885F6A" w:rsidP="00885F6A">
            <w:pPr>
              <w:jc w:val="right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205 787,5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F6A" w:rsidRPr="00C5324E" w:rsidRDefault="00885F6A" w:rsidP="00885F6A">
            <w:pPr>
              <w:jc w:val="right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205 787,5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F6A" w:rsidRPr="00C5324E" w:rsidRDefault="00885F6A" w:rsidP="00885F6A">
            <w:pPr>
              <w:jc w:val="right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205 787,5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F6A" w:rsidRPr="00C5324E" w:rsidRDefault="00885F6A" w:rsidP="00885F6A">
            <w:pPr>
              <w:jc w:val="right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205 787,5</w:t>
            </w:r>
          </w:p>
        </w:tc>
      </w:tr>
      <w:tr w:rsidR="00885F6A" w:rsidRPr="00C5324E" w:rsidTr="00197604">
        <w:trPr>
          <w:trHeight w:val="20"/>
        </w:trPr>
        <w:tc>
          <w:tcPr>
            <w:tcW w:w="3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F6A" w:rsidRPr="00C5324E" w:rsidRDefault="00885F6A" w:rsidP="00885F6A">
            <w:pPr>
              <w:rPr>
                <w:bCs/>
                <w:iCs/>
                <w:color w:val="000000"/>
              </w:rPr>
            </w:pPr>
            <w:r w:rsidRPr="005C380C">
              <w:rPr>
                <w:bCs/>
                <w:iCs/>
                <w:color w:val="000000"/>
              </w:rPr>
              <w:t xml:space="preserve">Доходы от сдачи в аренду имущества 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F6A" w:rsidRPr="00C5324E" w:rsidRDefault="00885F6A" w:rsidP="00885F6A">
            <w:pPr>
              <w:jc w:val="right"/>
              <w:rPr>
                <w:bCs/>
                <w:iCs/>
                <w:color w:val="000000"/>
              </w:rPr>
            </w:pPr>
            <w:r w:rsidRPr="00C5324E">
              <w:rPr>
                <w:bCs/>
                <w:iCs/>
                <w:color w:val="000000"/>
              </w:rPr>
              <w:t>7 869,3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F6A" w:rsidRPr="00C5324E" w:rsidRDefault="00885F6A" w:rsidP="00885F6A">
            <w:pPr>
              <w:jc w:val="right"/>
              <w:rPr>
                <w:bCs/>
                <w:iCs/>
                <w:color w:val="000000"/>
              </w:rPr>
            </w:pPr>
            <w:r w:rsidRPr="00C5324E">
              <w:rPr>
                <w:bCs/>
                <w:iCs/>
                <w:color w:val="000000"/>
              </w:rPr>
              <w:t>3 308,1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F6A" w:rsidRPr="00C5324E" w:rsidRDefault="00885F6A" w:rsidP="00885F6A">
            <w:pPr>
              <w:jc w:val="right"/>
              <w:rPr>
                <w:bCs/>
                <w:iCs/>
                <w:color w:val="000000"/>
              </w:rPr>
            </w:pPr>
            <w:r w:rsidRPr="00C5324E">
              <w:rPr>
                <w:bCs/>
                <w:iCs/>
                <w:color w:val="000000"/>
              </w:rPr>
              <w:t>3 308,1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F6A" w:rsidRPr="00C5324E" w:rsidRDefault="00885F6A" w:rsidP="00885F6A">
            <w:pPr>
              <w:jc w:val="right"/>
              <w:rPr>
                <w:bCs/>
                <w:iCs/>
                <w:color w:val="000000"/>
              </w:rPr>
            </w:pPr>
            <w:r w:rsidRPr="00C5324E">
              <w:rPr>
                <w:bCs/>
                <w:iCs/>
                <w:color w:val="000000"/>
              </w:rPr>
              <w:t>3 308,1</w:t>
            </w:r>
          </w:p>
        </w:tc>
      </w:tr>
      <w:tr w:rsidR="00885F6A" w:rsidRPr="00C5324E" w:rsidTr="00197604">
        <w:trPr>
          <w:trHeight w:val="20"/>
        </w:trPr>
        <w:tc>
          <w:tcPr>
            <w:tcW w:w="3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F6A" w:rsidRPr="00C5324E" w:rsidRDefault="00885F6A" w:rsidP="00885F6A">
            <w:pPr>
              <w:rPr>
                <w:bCs/>
                <w:iCs/>
                <w:color w:val="000000"/>
              </w:rPr>
            </w:pPr>
            <w:r w:rsidRPr="00C5324E">
              <w:rPr>
                <w:bCs/>
                <w:iCs/>
                <w:color w:val="000000"/>
                <w:szCs w:val="22"/>
              </w:rPr>
              <w:t xml:space="preserve">ВСЕГО 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F6A" w:rsidRPr="00AC092B" w:rsidRDefault="00885F6A" w:rsidP="00885F6A">
            <w:pPr>
              <w:jc w:val="right"/>
              <w:rPr>
                <w:bCs/>
                <w:iCs/>
                <w:color w:val="000000"/>
              </w:rPr>
            </w:pPr>
            <w:r w:rsidRPr="00AC092B">
              <w:rPr>
                <w:bCs/>
                <w:iCs/>
                <w:color w:val="000000"/>
              </w:rPr>
              <w:t>669 001,9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F6A" w:rsidRPr="00AC092B" w:rsidRDefault="00885F6A" w:rsidP="00885F6A">
            <w:pPr>
              <w:jc w:val="right"/>
              <w:rPr>
                <w:bCs/>
                <w:iCs/>
                <w:color w:val="000000"/>
              </w:rPr>
            </w:pPr>
            <w:r w:rsidRPr="00AC092B">
              <w:rPr>
                <w:bCs/>
                <w:iCs/>
                <w:color w:val="000000"/>
              </w:rPr>
              <w:t>680 973,7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F6A" w:rsidRPr="00AC092B" w:rsidRDefault="00885F6A" w:rsidP="00885F6A">
            <w:pPr>
              <w:jc w:val="right"/>
              <w:rPr>
                <w:bCs/>
                <w:iCs/>
                <w:color w:val="000000"/>
              </w:rPr>
            </w:pPr>
            <w:r w:rsidRPr="00AC092B">
              <w:rPr>
                <w:bCs/>
                <w:iCs/>
                <w:color w:val="000000"/>
              </w:rPr>
              <w:t>680 973,7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F6A" w:rsidRPr="00AC092B" w:rsidRDefault="00885F6A" w:rsidP="00885F6A">
            <w:pPr>
              <w:jc w:val="right"/>
              <w:rPr>
                <w:bCs/>
                <w:iCs/>
                <w:color w:val="000000"/>
              </w:rPr>
            </w:pPr>
            <w:r w:rsidRPr="00AC092B">
              <w:rPr>
                <w:bCs/>
                <w:iCs/>
                <w:color w:val="000000"/>
              </w:rPr>
              <w:t>680 973,7</w:t>
            </w:r>
          </w:p>
        </w:tc>
      </w:tr>
    </w:tbl>
    <w:p w:rsidR="00885F6A" w:rsidRDefault="00885F6A" w:rsidP="00885F6A"/>
    <w:p w:rsidR="00885F6A" w:rsidRDefault="00885F6A" w:rsidP="00885F6A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0A78AD">
        <w:rPr>
          <w:sz w:val="26"/>
          <w:szCs w:val="26"/>
        </w:rPr>
        <w:t>Структура планируемых доходов бюджета на 2020 год и плановый период 2021-2022 годов.</w:t>
      </w:r>
    </w:p>
    <w:p w:rsidR="00885F6A" w:rsidRDefault="00885F6A" w:rsidP="00885F6A">
      <w:pPr>
        <w:ind w:firstLine="851"/>
        <w:contextualSpacing/>
        <w:jc w:val="right"/>
      </w:pPr>
      <w:r>
        <w:t xml:space="preserve"> </w:t>
      </w:r>
      <w:r w:rsidRPr="00DE4639">
        <w:t>(тыс. руб.)</w:t>
      </w:r>
    </w:p>
    <w:tbl>
      <w:tblPr>
        <w:tblW w:w="1007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2"/>
        <w:gridCol w:w="1559"/>
        <w:gridCol w:w="1559"/>
        <w:gridCol w:w="1560"/>
      </w:tblGrid>
      <w:tr w:rsidR="00885F6A" w:rsidRPr="008B6F27" w:rsidTr="008B6F27">
        <w:trPr>
          <w:trHeight w:val="372"/>
          <w:tblHeader/>
        </w:trPr>
        <w:tc>
          <w:tcPr>
            <w:tcW w:w="5392" w:type="dxa"/>
            <w:vMerge w:val="restart"/>
            <w:shd w:val="clear" w:color="auto" w:fill="auto"/>
            <w:vAlign w:val="center"/>
            <w:hideMark/>
          </w:tcPr>
          <w:p w:rsidR="00885F6A" w:rsidRPr="008B6F27" w:rsidRDefault="00885F6A" w:rsidP="00885F6A">
            <w:pPr>
              <w:jc w:val="center"/>
            </w:pPr>
            <w:r w:rsidRPr="008B6F27">
              <w:t>Наименование доходов бюджета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  <w:hideMark/>
          </w:tcPr>
          <w:p w:rsidR="00885F6A" w:rsidRPr="008B6F27" w:rsidRDefault="00885F6A" w:rsidP="00885F6A">
            <w:pPr>
              <w:jc w:val="center"/>
            </w:pPr>
            <w:r w:rsidRPr="008B6F27">
              <w:t>Прогноз поступлений</w:t>
            </w:r>
          </w:p>
        </w:tc>
      </w:tr>
      <w:tr w:rsidR="00885F6A" w:rsidRPr="008B6F27" w:rsidTr="008B6F27">
        <w:trPr>
          <w:trHeight w:val="265"/>
          <w:tblHeader/>
        </w:trPr>
        <w:tc>
          <w:tcPr>
            <w:tcW w:w="5392" w:type="dxa"/>
            <w:vMerge/>
            <w:vAlign w:val="center"/>
            <w:hideMark/>
          </w:tcPr>
          <w:p w:rsidR="00885F6A" w:rsidRPr="008B6F27" w:rsidRDefault="00885F6A" w:rsidP="00885F6A"/>
        </w:tc>
        <w:tc>
          <w:tcPr>
            <w:tcW w:w="1559" w:type="dxa"/>
            <w:shd w:val="clear" w:color="auto" w:fill="auto"/>
            <w:vAlign w:val="center"/>
            <w:hideMark/>
          </w:tcPr>
          <w:p w:rsidR="00885F6A" w:rsidRPr="008B6F27" w:rsidRDefault="00885F6A" w:rsidP="00885F6A">
            <w:pPr>
              <w:jc w:val="center"/>
              <w:rPr>
                <w:bCs/>
              </w:rPr>
            </w:pPr>
            <w:r w:rsidRPr="008B6F27">
              <w:rPr>
                <w:bCs/>
              </w:rPr>
              <w:t>2020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85F6A" w:rsidRPr="008B6F27" w:rsidRDefault="00885F6A" w:rsidP="00885F6A">
            <w:pPr>
              <w:jc w:val="center"/>
              <w:rPr>
                <w:bCs/>
              </w:rPr>
            </w:pPr>
            <w:r w:rsidRPr="008B6F27">
              <w:rPr>
                <w:bCs/>
              </w:rPr>
              <w:t>2021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85F6A" w:rsidRPr="008B6F27" w:rsidRDefault="00885F6A" w:rsidP="00885F6A">
            <w:pPr>
              <w:jc w:val="center"/>
              <w:rPr>
                <w:bCs/>
              </w:rPr>
            </w:pPr>
            <w:r w:rsidRPr="008B6F27">
              <w:rPr>
                <w:bCs/>
              </w:rPr>
              <w:t>2022 год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000000" w:fill="D8D8D8"/>
            <w:vAlign w:val="bottom"/>
            <w:hideMark/>
          </w:tcPr>
          <w:p w:rsidR="00885F6A" w:rsidRPr="008B6F27" w:rsidRDefault="00885F6A" w:rsidP="00885F6A">
            <w:pPr>
              <w:rPr>
                <w:color w:val="000000"/>
              </w:rPr>
            </w:pPr>
            <w:r w:rsidRPr="008B6F27">
              <w:rPr>
                <w:color w:val="000000"/>
              </w:rPr>
              <w:t>НАЛОГОВЫЕ И НЕНАЛОГОВЫЕ  ДОХОДЫ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6 743 556,1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6 585 644,8</w:t>
            </w:r>
          </w:p>
        </w:tc>
        <w:tc>
          <w:tcPr>
            <w:tcW w:w="1560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6 649 476,8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000000" w:fill="D8D8D8"/>
            <w:vAlign w:val="bottom"/>
            <w:hideMark/>
          </w:tcPr>
          <w:p w:rsidR="00885F6A" w:rsidRPr="008B6F27" w:rsidRDefault="00885F6A" w:rsidP="00885F6A">
            <w:pPr>
              <w:rPr>
                <w:color w:val="000000"/>
              </w:rPr>
            </w:pPr>
            <w:r w:rsidRPr="008B6F27">
              <w:rPr>
                <w:color w:val="000000"/>
              </w:rPr>
              <w:t>НАЛОГОВЫЕ ДОХОДЫ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Cs/>
                <w:color w:val="000000"/>
              </w:rPr>
            </w:pPr>
            <w:r w:rsidRPr="008B6F27">
              <w:rPr>
                <w:iCs/>
                <w:color w:val="000000"/>
              </w:rPr>
              <w:t>6 200 838,9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Cs/>
                <w:color w:val="000000"/>
              </w:rPr>
            </w:pPr>
            <w:r w:rsidRPr="008B6F27">
              <w:rPr>
                <w:iCs/>
                <w:color w:val="000000"/>
              </w:rPr>
              <w:t>6 025 607,6</w:t>
            </w:r>
          </w:p>
        </w:tc>
        <w:tc>
          <w:tcPr>
            <w:tcW w:w="1560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Cs/>
                <w:color w:val="000000"/>
              </w:rPr>
            </w:pPr>
            <w:r w:rsidRPr="008B6F27">
              <w:rPr>
                <w:iCs/>
                <w:color w:val="000000"/>
              </w:rPr>
              <w:t>6 076 307,6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3 896 640,0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3 924 240,0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3 955 605,0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Норматив отчислений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29,52%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29,55%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29,63%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57,8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59,6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59,5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 xml:space="preserve">Акцизы по подакцизным товарам (продукции), </w:t>
            </w:r>
            <w:r w:rsidRPr="008B6F27">
              <w:rPr>
                <w:bCs/>
                <w:color w:val="000000"/>
              </w:rPr>
              <w:lastRenderedPageBreak/>
              <w:t>производимым на территории РФ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lastRenderedPageBreak/>
              <w:t>46 927,9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67 201,6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67 201,6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lastRenderedPageBreak/>
              <w:t>Норматив отчислений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0,6967%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0,6967%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0,6967%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1,0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437 000,0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495 000,0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498 000,0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Норматив отчислений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30%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30%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30%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7,5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7,5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299 000,0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0,0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0,0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Единый сельскохозяйственный налог*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143,0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183,0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213,0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13 000,0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23 000,0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23 500,0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0,3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0,4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Налог на имущество физических лиц*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109 000,0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112 000,0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114 000,0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1,7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1,7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Транспортный налог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25 500,0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25 850,0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26 150,0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Норматив отчислений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5%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5%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5%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0,4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0,4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Земельный налог*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1 286 000,0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1 290 000,0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1 303 000,0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19,1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19,6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19,6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Государственная пошлина*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87 627,0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88 132,0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88 637,0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1,3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1,3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Задолженность и перерасчеты по отмененным налогам, сборам и иным обязательным платежам*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Cs/>
                <w:color w:val="000000"/>
              </w:rPr>
            </w:pPr>
            <w:r w:rsidRPr="008B6F27">
              <w:rPr>
                <w:bCs/>
                <w:color w:val="000000"/>
              </w:rPr>
              <w:t>1,0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000000" w:fill="D8D8D8"/>
            <w:vAlign w:val="bottom"/>
            <w:hideMark/>
          </w:tcPr>
          <w:p w:rsidR="00885F6A" w:rsidRPr="008B6F27" w:rsidRDefault="00885F6A" w:rsidP="00885F6A">
            <w:pPr>
              <w:rPr>
                <w:iCs/>
                <w:color w:val="000000"/>
              </w:rPr>
            </w:pPr>
            <w:r w:rsidRPr="008B6F27">
              <w:rPr>
                <w:iCs/>
                <w:color w:val="000000"/>
              </w:rPr>
              <w:t>НЕНАЛОГОВЫЕ ДОХОДЫ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Cs/>
                <w:color w:val="000000"/>
              </w:rPr>
            </w:pPr>
            <w:r w:rsidRPr="008B6F27">
              <w:rPr>
                <w:iCs/>
                <w:color w:val="000000"/>
              </w:rPr>
              <w:t>544 917,2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Cs/>
                <w:color w:val="000000"/>
              </w:rPr>
            </w:pPr>
            <w:r w:rsidRPr="008B6F27">
              <w:rPr>
                <w:iCs/>
                <w:color w:val="000000"/>
              </w:rPr>
              <w:t>561 337,2</w:t>
            </w:r>
          </w:p>
        </w:tc>
        <w:tc>
          <w:tcPr>
            <w:tcW w:w="1560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Cs/>
                <w:color w:val="000000"/>
              </w:rPr>
            </w:pPr>
            <w:r w:rsidRPr="008B6F27">
              <w:rPr>
                <w:iCs/>
                <w:color w:val="000000"/>
              </w:rPr>
              <w:t>573 469,2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color w:val="000000"/>
              </w:rPr>
            </w:pPr>
            <w:proofErr w:type="gramStart"/>
            <w:r w:rsidRPr="008B6F27">
              <w:rPr>
                <w:color w:val="000000"/>
              </w:rPr>
              <w:t>Доходы, получаемые в виде арендной платы за 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(аренда)*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281 610,0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293 719,0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306 349,0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4,5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4,6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color w:val="000000"/>
              </w:rPr>
            </w:pPr>
            <w:proofErr w:type="gramStart"/>
            <w:r w:rsidRPr="008B6F27">
              <w:rPr>
                <w:color w:val="000000"/>
              </w:rPr>
              <w:t>Доходы, получаемые в виде арендной платы за 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(право аренды)*</w:t>
            </w:r>
            <w:proofErr w:type="gram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800,0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800,0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color w:val="000000"/>
              </w:rPr>
            </w:pPr>
            <w:r w:rsidRPr="008B6F27">
              <w:rPr>
                <w:color w:val="000000"/>
              </w:rPr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55 000,0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55 000,0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55 000,0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0,8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0,8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color w:val="000000"/>
              </w:rPr>
            </w:pPr>
            <w:r w:rsidRPr="008B6F27">
              <w:rPr>
                <w:color w:val="000000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800,0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800,0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color w:val="000000"/>
              </w:rPr>
            </w:pPr>
            <w:r w:rsidRPr="008B6F27">
              <w:rPr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социальный наем)*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9 524,0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9 885,0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10 221,0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color w:val="000000"/>
              </w:rPr>
            </w:pPr>
            <w:r w:rsidRPr="008B6F27">
              <w:rPr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наружной рекламы на объектах муниципальной собственности)*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4 894,0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4 894,0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4 894,0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color w:val="000000"/>
              </w:rPr>
            </w:pPr>
            <w:r w:rsidRPr="008B6F27">
              <w:rPr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коммерческий наем)*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11 386,0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11 849,0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12 263,7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color w:val="000000"/>
              </w:rPr>
            </w:pPr>
            <w:r w:rsidRPr="008B6F27">
              <w:rPr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(размещение нестационарного торгового объекта)*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24 218,0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25 260,0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26 346,0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color w:val="000000"/>
              </w:rPr>
            </w:pPr>
            <w:r w:rsidRPr="008B6F27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69 822,4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72 615,2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70 519,8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Норматив отчислений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60%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60%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60%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1,1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1,1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color w:val="000000"/>
              </w:rPr>
            </w:pPr>
            <w:r w:rsidRPr="008B6F27">
              <w:rPr>
                <w:color w:val="000000"/>
              </w:rPr>
              <w:t>Доходы от оказания информационных услуг*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587,0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612,0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639,0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color w:val="000000"/>
              </w:rPr>
            </w:pPr>
            <w:r w:rsidRPr="008B6F27">
              <w:rPr>
                <w:color w:val="000000"/>
              </w:rPr>
              <w:t>Прочие доходы от оказания платных услуг (работ)*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21 251,0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21 251,0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21 251,0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color w:val="000000"/>
              </w:rPr>
            </w:pPr>
            <w:r w:rsidRPr="008B6F27">
              <w:rPr>
                <w:color w:val="000000"/>
              </w:rPr>
              <w:t>Доходы от компенсации затрат государства*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20 856,0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20 856,0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20 856,0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color w:val="000000"/>
              </w:rPr>
            </w:pPr>
            <w:r w:rsidRPr="008B6F27">
              <w:rPr>
                <w:color w:val="000000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</w:t>
            </w:r>
            <w:r w:rsidRPr="008B6F27">
              <w:rPr>
                <w:color w:val="000000"/>
              </w:rPr>
              <w:lastRenderedPageBreak/>
              <w:t>имущества муниципальных унитарных предприятий, в том числе казенных), в части реализации основных средств по указанному имуществу*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lastRenderedPageBreak/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10 000,0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10 000,0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color w:val="000000"/>
              </w:rPr>
            </w:pPr>
            <w:r w:rsidRPr="008B6F27">
              <w:rPr>
                <w:color w:val="000000"/>
              </w:rPr>
              <w:lastRenderedPageBreak/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7 000,0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6 000,0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5 000,0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color w:val="000000"/>
              </w:rPr>
            </w:pPr>
            <w:r w:rsidRPr="008B6F27">
              <w:rPr>
                <w:color w:val="000000"/>
              </w:rPr>
              <w:t>Штрафы, санкции, возмещение ущерба*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27 267,8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27 795,0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28 528,7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Удельный вес в структуре налоговых и неналоговых доходов, %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0,4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0,4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color w:val="000000"/>
              </w:rPr>
            </w:pPr>
            <w:r w:rsidRPr="008B6F27">
              <w:rPr>
                <w:color w:val="000000"/>
              </w:rPr>
              <w:t>Прочие неналоговые доходы*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1,0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85F6A" w:rsidRPr="008B6F27" w:rsidRDefault="00885F6A" w:rsidP="00885F6A">
            <w:pPr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*Норматив отчислений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100%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100%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i/>
                <w:iCs/>
                <w:color w:val="000000"/>
              </w:rPr>
            </w:pPr>
            <w:r w:rsidRPr="008B6F27">
              <w:rPr>
                <w:i/>
                <w:iCs/>
                <w:color w:val="000000"/>
              </w:rPr>
              <w:t>100%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auto" w:fill="D9D9D9" w:themeFill="background1" w:themeFillShade="D9"/>
            <w:vAlign w:val="bottom"/>
            <w:hideMark/>
          </w:tcPr>
          <w:p w:rsidR="00885F6A" w:rsidRPr="008B6F27" w:rsidRDefault="00885F6A" w:rsidP="00885F6A">
            <w:pPr>
              <w:rPr>
                <w:color w:val="000000"/>
              </w:rPr>
            </w:pPr>
            <w:r w:rsidRPr="008B6F27">
              <w:rPr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12 155 192,5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10 200 802,2</w:t>
            </w:r>
          </w:p>
        </w:tc>
        <w:tc>
          <w:tcPr>
            <w:tcW w:w="1560" w:type="dxa"/>
            <w:shd w:val="clear" w:color="auto" w:fill="D9D9D9" w:themeFill="background1" w:themeFillShade="D9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8 808 870,7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000000" w:fill="D8D8D8"/>
            <w:vAlign w:val="bottom"/>
            <w:hideMark/>
          </w:tcPr>
          <w:p w:rsidR="00885F6A" w:rsidRPr="008B6F27" w:rsidRDefault="00885F6A" w:rsidP="00885F6A">
            <w:pPr>
              <w:rPr>
                <w:color w:val="000000"/>
              </w:rPr>
            </w:pPr>
            <w:r w:rsidRPr="008B6F27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3 302 538,0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1 154 040,0</w:t>
            </w:r>
          </w:p>
        </w:tc>
        <w:tc>
          <w:tcPr>
            <w:tcW w:w="1560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845 625,0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000000" w:fill="D8D8D8"/>
            <w:vAlign w:val="bottom"/>
            <w:hideMark/>
          </w:tcPr>
          <w:p w:rsidR="00885F6A" w:rsidRPr="008B6F27" w:rsidRDefault="00885F6A" w:rsidP="00885F6A">
            <w:pPr>
              <w:rPr>
                <w:color w:val="000000"/>
              </w:rPr>
            </w:pPr>
            <w:r w:rsidRPr="008B6F27">
              <w:rPr>
                <w:color w:val="000000"/>
              </w:rPr>
              <w:t>Субсидии бюджетам бюджетной системы РФ (межбюджетные субсидии)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523 758,5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866 233,1</w:t>
            </w:r>
          </w:p>
        </w:tc>
        <w:tc>
          <w:tcPr>
            <w:tcW w:w="1560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372 735,6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000000" w:fill="D8D8D8"/>
            <w:vAlign w:val="bottom"/>
            <w:hideMark/>
          </w:tcPr>
          <w:p w:rsidR="00885F6A" w:rsidRPr="008B6F27" w:rsidRDefault="00885F6A" w:rsidP="00885F6A">
            <w:pPr>
              <w:rPr>
                <w:color w:val="000000"/>
              </w:rPr>
            </w:pPr>
            <w:r w:rsidRPr="008B6F27">
              <w:rPr>
                <w:color w:val="000000"/>
              </w:rPr>
              <w:t>Субвенции бюджетам бюджетной системы РФ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7 529 181,3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7 548 734,1</w:t>
            </w:r>
          </w:p>
        </w:tc>
        <w:tc>
          <w:tcPr>
            <w:tcW w:w="1560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7 570 652,1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000000" w:fill="D8D8D8"/>
            <w:vAlign w:val="bottom"/>
            <w:hideMark/>
          </w:tcPr>
          <w:p w:rsidR="00885F6A" w:rsidRPr="008B6F27" w:rsidRDefault="00885F6A" w:rsidP="00885F6A">
            <w:pPr>
              <w:rPr>
                <w:color w:val="000000"/>
              </w:rPr>
            </w:pPr>
            <w:r w:rsidRPr="008B6F27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754 764,7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586 845,0</w:t>
            </w:r>
          </w:p>
        </w:tc>
        <w:tc>
          <w:tcPr>
            <w:tcW w:w="1560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0,0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000000" w:fill="D8D8D8"/>
            <w:vAlign w:val="bottom"/>
            <w:hideMark/>
          </w:tcPr>
          <w:p w:rsidR="00885F6A" w:rsidRPr="008B6F27" w:rsidRDefault="00885F6A" w:rsidP="00885F6A">
            <w:pPr>
              <w:rPr>
                <w:color w:val="000000"/>
              </w:rPr>
            </w:pPr>
            <w:r w:rsidRPr="008B6F27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44 950,0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44 950,0</w:t>
            </w:r>
          </w:p>
        </w:tc>
        <w:tc>
          <w:tcPr>
            <w:tcW w:w="1560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color w:val="000000"/>
              </w:rPr>
            </w:pPr>
            <w:r w:rsidRPr="008B6F27">
              <w:rPr>
                <w:color w:val="000000"/>
              </w:rPr>
              <w:t>19 858,0</w:t>
            </w:r>
          </w:p>
        </w:tc>
      </w:tr>
      <w:tr w:rsidR="00885F6A" w:rsidRPr="008B6F27" w:rsidTr="008B6F27">
        <w:trPr>
          <w:trHeight w:val="20"/>
        </w:trPr>
        <w:tc>
          <w:tcPr>
            <w:tcW w:w="5392" w:type="dxa"/>
            <w:shd w:val="clear" w:color="000000" w:fill="D8D8D8"/>
            <w:vAlign w:val="bottom"/>
            <w:hideMark/>
          </w:tcPr>
          <w:p w:rsidR="00885F6A" w:rsidRPr="008B6F27" w:rsidRDefault="00885F6A" w:rsidP="00885F6A">
            <w:pPr>
              <w:rPr>
                <w:b/>
                <w:bCs/>
                <w:color w:val="000000"/>
              </w:rPr>
            </w:pPr>
            <w:r w:rsidRPr="008B6F27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/>
                <w:bCs/>
                <w:color w:val="000000"/>
              </w:rPr>
            </w:pPr>
            <w:r w:rsidRPr="008B6F27">
              <w:rPr>
                <w:b/>
                <w:bCs/>
                <w:color w:val="000000"/>
              </w:rPr>
              <w:t>18 900 948,6</w:t>
            </w:r>
          </w:p>
        </w:tc>
        <w:tc>
          <w:tcPr>
            <w:tcW w:w="1559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/>
                <w:bCs/>
                <w:color w:val="000000"/>
              </w:rPr>
            </w:pPr>
            <w:r w:rsidRPr="008B6F27">
              <w:rPr>
                <w:b/>
                <w:bCs/>
                <w:color w:val="000000"/>
              </w:rPr>
              <w:t>16 787 747,0</w:t>
            </w:r>
          </w:p>
        </w:tc>
        <w:tc>
          <w:tcPr>
            <w:tcW w:w="1560" w:type="dxa"/>
            <w:shd w:val="clear" w:color="000000" w:fill="D8D8D8"/>
            <w:noWrap/>
            <w:vAlign w:val="bottom"/>
            <w:hideMark/>
          </w:tcPr>
          <w:p w:rsidR="00885F6A" w:rsidRPr="008B6F27" w:rsidRDefault="00885F6A" w:rsidP="00885F6A">
            <w:pPr>
              <w:jc w:val="right"/>
              <w:rPr>
                <w:b/>
                <w:bCs/>
                <w:color w:val="000000"/>
              </w:rPr>
            </w:pPr>
            <w:r w:rsidRPr="008B6F27">
              <w:rPr>
                <w:b/>
                <w:bCs/>
                <w:color w:val="000000"/>
              </w:rPr>
              <w:t>15 458 647,5</w:t>
            </w:r>
          </w:p>
        </w:tc>
      </w:tr>
    </w:tbl>
    <w:p w:rsidR="00977572" w:rsidRDefault="00977572" w:rsidP="003262C9">
      <w:pPr>
        <w:jc w:val="center"/>
        <w:rPr>
          <w:b/>
        </w:rPr>
      </w:pPr>
    </w:p>
    <w:p w:rsidR="004D4F10" w:rsidRDefault="004D4F10" w:rsidP="003262C9">
      <w:pPr>
        <w:jc w:val="center"/>
        <w:rPr>
          <w:b/>
        </w:rPr>
      </w:pPr>
      <w:r>
        <w:rPr>
          <w:b/>
        </w:rPr>
        <w:t>РАСХОДЫ</w:t>
      </w:r>
    </w:p>
    <w:p w:rsidR="004D4F10" w:rsidRPr="00A53E79" w:rsidRDefault="004D4F10" w:rsidP="004D4F10">
      <w:pPr>
        <w:ind w:firstLine="708"/>
        <w:jc w:val="center"/>
        <w:rPr>
          <w:b/>
        </w:rPr>
      </w:pPr>
    </w:p>
    <w:p w:rsidR="001A074D" w:rsidRDefault="001A074D" w:rsidP="00197604">
      <w:pPr>
        <w:spacing w:line="276" w:lineRule="auto"/>
        <w:ind w:firstLine="708"/>
        <w:jc w:val="both"/>
        <w:rPr>
          <w:color w:val="000000"/>
          <w:sz w:val="26"/>
          <w:szCs w:val="26"/>
          <w:lang w:bidi="hi-IN"/>
        </w:rPr>
      </w:pPr>
      <w:r>
        <w:rPr>
          <w:color w:val="000000"/>
          <w:sz w:val="26"/>
          <w:szCs w:val="26"/>
          <w:lang w:bidi="hi-IN"/>
        </w:rPr>
        <w:t>В рамках ф</w:t>
      </w:r>
      <w:r w:rsidR="004D4F10" w:rsidRPr="004D4F10">
        <w:rPr>
          <w:color w:val="000000"/>
          <w:sz w:val="26"/>
          <w:szCs w:val="26"/>
          <w:lang w:bidi="hi-IN"/>
        </w:rPr>
        <w:t>ормировани</w:t>
      </w:r>
      <w:r>
        <w:rPr>
          <w:color w:val="000000"/>
          <w:sz w:val="26"/>
          <w:szCs w:val="26"/>
          <w:lang w:bidi="hi-IN"/>
        </w:rPr>
        <w:t>я</w:t>
      </w:r>
      <w:r w:rsidR="004D4F10" w:rsidRPr="004D4F10">
        <w:rPr>
          <w:color w:val="000000"/>
          <w:sz w:val="26"/>
          <w:szCs w:val="26"/>
          <w:lang w:bidi="hi-IN"/>
        </w:rPr>
        <w:t xml:space="preserve"> проекта бюджета главными распорядителями бюджетных средств расчет потребности на 2020 и 2021 осуществлял</w:t>
      </w:r>
      <w:r>
        <w:rPr>
          <w:color w:val="000000"/>
          <w:sz w:val="26"/>
          <w:szCs w:val="26"/>
          <w:lang w:bidi="hi-IN"/>
        </w:rPr>
        <w:t>ся</w:t>
      </w:r>
      <w:r w:rsidR="004D4F10" w:rsidRPr="004D4F10">
        <w:rPr>
          <w:color w:val="000000"/>
          <w:sz w:val="26"/>
          <w:szCs w:val="26"/>
          <w:lang w:bidi="hi-IN"/>
        </w:rPr>
        <w:t xml:space="preserve"> в пределах объемов бюджетных ассигнований, утвержденных на 2020 и 2021 годы, с учетом оценки исполнения расходных обязательств в 2019 году. Объем бюджетных ассигнований на 2022 год предусматривался на уровне 2021 года. </w:t>
      </w:r>
    </w:p>
    <w:p w:rsidR="004D4F10" w:rsidRPr="004D4F10" w:rsidRDefault="004D4F10" w:rsidP="00197604">
      <w:pPr>
        <w:spacing w:line="276" w:lineRule="auto"/>
        <w:ind w:firstLine="708"/>
        <w:jc w:val="both"/>
        <w:rPr>
          <w:color w:val="000000"/>
          <w:sz w:val="26"/>
          <w:szCs w:val="26"/>
          <w:lang w:bidi="hi-IN"/>
        </w:rPr>
      </w:pPr>
      <w:r w:rsidRPr="004D4F10">
        <w:rPr>
          <w:color w:val="000000"/>
          <w:sz w:val="26"/>
          <w:szCs w:val="26"/>
          <w:lang w:bidi="hi-IN"/>
        </w:rPr>
        <w:t>Кроме того, при расчете объема бюджетных ассигнований учитывались следующие факторы:</w:t>
      </w:r>
    </w:p>
    <w:p w:rsidR="004D4F10" w:rsidRPr="004D4F10" w:rsidRDefault="004D4F10" w:rsidP="0044023F">
      <w:pPr>
        <w:pStyle w:val="af1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/>
          <w:sz w:val="26"/>
          <w:szCs w:val="26"/>
          <w:lang w:bidi="hi-IN"/>
        </w:rPr>
      </w:pPr>
      <w:r w:rsidRPr="004D4F10">
        <w:rPr>
          <w:color w:val="000000"/>
          <w:sz w:val="26"/>
          <w:szCs w:val="26"/>
          <w:lang w:bidi="hi-IN"/>
        </w:rPr>
        <w:t>уточнение законодательно установленного объема бюджетных ассигнований на прогнозный уровень инфляции (индекс роста потребительских цен);</w:t>
      </w:r>
    </w:p>
    <w:p w:rsidR="004D4F10" w:rsidRPr="004D4F10" w:rsidRDefault="004D4F10" w:rsidP="0044023F">
      <w:pPr>
        <w:pStyle w:val="af1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/>
          <w:sz w:val="26"/>
          <w:szCs w:val="26"/>
          <w:lang w:bidi="hi-IN"/>
        </w:rPr>
      </w:pPr>
      <w:r w:rsidRPr="004D4F10">
        <w:rPr>
          <w:color w:val="000000"/>
          <w:sz w:val="26"/>
          <w:szCs w:val="26"/>
          <w:lang w:bidi="hi-IN"/>
        </w:rPr>
        <w:t>повышение оплаты труда всех работников бюджетной сферы, включая работников органов государственной власти субъекта на 3,8 процента с 01.01.2020 года;</w:t>
      </w:r>
    </w:p>
    <w:p w:rsidR="004D4F10" w:rsidRPr="004D4F10" w:rsidRDefault="004D4F10" w:rsidP="0044023F">
      <w:pPr>
        <w:pStyle w:val="af1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/>
          <w:sz w:val="26"/>
          <w:szCs w:val="26"/>
          <w:lang w:bidi="hi-IN"/>
        </w:rPr>
      </w:pPr>
      <w:r w:rsidRPr="004D4F10">
        <w:rPr>
          <w:color w:val="000000"/>
          <w:sz w:val="26"/>
          <w:szCs w:val="26"/>
          <w:lang w:bidi="hi-IN"/>
        </w:rPr>
        <w:t>уточнение законодательно установленного объема бюджетных ассигнований в связи с изменением численности (контингента) получателей социальных выплат и пособий, пенсий;</w:t>
      </w:r>
    </w:p>
    <w:p w:rsidR="004D4F10" w:rsidRPr="004D4F10" w:rsidRDefault="004D4F10" w:rsidP="0044023F">
      <w:pPr>
        <w:pStyle w:val="af1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/>
          <w:sz w:val="26"/>
          <w:szCs w:val="26"/>
          <w:lang w:bidi="hi-IN"/>
        </w:rPr>
      </w:pPr>
      <w:r w:rsidRPr="004D4F10">
        <w:rPr>
          <w:color w:val="000000"/>
          <w:sz w:val="26"/>
          <w:szCs w:val="26"/>
          <w:lang w:bidi="hi-IN"/>
        </w:rPr>
        <w:t>уменьшение законодательно установленного объема бюджетных ассигнований по мероприятиям, реализация которых завершается;</w:t>
      </w:r>
    </w:p>
    <w:p w:rsidR="004D4F10" w:rsidRPr="004D4F10" w:rsidRDefault="004D4F10" w:rsidP="0044023F">
      <w:pPr>
        <w:pStyle w:val="af1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/>
          <w:sz w:val="26"/>
          <w:szCs w:val="26"/>
          <w:lang w:bidi="hi-IN"/>
        </w:rPr>
      </w:pPr>
      <w:r w:rsidRPr="004D4F10">
        <w:rPr>
          <w:color w:val="000000"/>
          <w:sz w:val="26"/>
          <w:szCs w:val="26"/>
          <w:lang w:bidi="hi-IN"/>
        </w:rPr>
        <w:t>уточнение законодательно установленного объема бюджетных ассигнований, зависящих от объема поступления доходов;</w:t>
      </w:r>
    </w:p>
    <w:p w:rsidR="004D4F10" w:rsidRPr="004D4F10" w:rsidRDefault="004D4F10" w:rsidP="0044023F">
      <w:pPr>
        <w:pStyle w:val="af1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/>
          <w:sz w:val="26"/>
          <w:szCs w:val="26"/>
          <w:lang w:bidi="hi-IN"/>
        </w:rPr>
      </w:pPr>
      <w:r w:rsidRPr="004D4F10">
        <w:rPr>
          <w:color w:val="000000"/>
          <w:sz w:val="26"/>
          <w:szCs w:val="26"/>
          <w:lang w:bidi="hi-IN"/>
        </w:rPr>
        <w:t>уточнение законодательно установленного объема бюджетных ассигнований на обслуживание муниципального долга.</w:t>
      </w:r>
    </w:p>
    <w:p w:rsidR="004D4F10" w:rsidRPr="004D4F10" w:rsidRDefault="004D4F10" w:rsidP="00197604">
      <w:pPr>
        <w:spacing w:line="276" w:lineRule="auto"/>
        <w:ind w:firstLine="708"/>
        <w:jc w:val="both"/>
        <w:rPr>
          <w:sz w:val="26"/>
          <w:szCs w:val="26"/>
        </w:rPr>
      </w:pPr>
      <w:r w:rsidRPr="004D4F10">
        <w:rPr>
          <w:sz w:val="26"/>
          <w:szCs w:val="26"/>
        </w:rPr>
        <w:lastRenderedPageBreak/>
        <w:t>Проект бюджета Новокузнецкого городского округа на 2020-2022 годы первоначально был сформирован на основании 20 муниципальн</w:t>
      </w:r>
      <w:r w:rsidR="001A074D">
        <w:rPr>
          <w:sz w:val="26"/>
          <w:szCs w:val="26"/>
        </w:rPr>
        <w:t>ых</w:t>
      </w:r>
      <w:r w:rsidRPr="004D4F10">
        <w:rPr>
          <w:sz w:val="26"/>
          <w:szCs w:val="26"/>
        </w:rPr>
        <w:t xml:space="preserve"> программ.</w:t>
      </w:r>
    </w:p>
    <w:p w:rsidR="004D4F10" w:rsidRPr="004D4F10" w:rsidRDefault="004D4F10" w:rsidP="00197604">
      <w:pPr>
        <w:spacing w:line="276" w:lineRule="auto"/>
        <w:ind w:firstLine="708"/>
        <w:jc w:val="both"/>
        <w:rPr>
          <w:rFonts w:eastAsia="Calibri"/>
          <w:sz w:val="26"/>
          <w:szCs w:val="26"/>
        </w:rPr>
      </w:pPr>
      <w:r w:rsidRPr="004D4F10">
        <w:rPr>
          <w:rFonts w:eastAsia="Calibri"/>
          <w:sz w:val="26"/>
          <w:szCs w:val="26"/>
        </w:rPr>
        <w:t xml:space="preserve">Расходы в рамках программ </w:t>
      </w:r>
      <w:r w:rsidRPr="004D4F10">
        <w:rPr>
          <w:rFonts w:eastAsia="Calibri"/>
          <w:b/>
          <w:sz w:val="26"/>
          <w:szCs w:val="26"/>
        </w:rPr>
        <w:t>по предложениям ГРБС</w:t>
      </w:r>
      <w:r w:rsidRPr="004D4F10">
        <w:rPr>
          <w:rFonts w:eastAsia="Calibri"/>
          <w:sz w:val="26"/>
          <w:szCs w:val="26"/>
        </w:rPr>
        <w:t xml:space="preserve"> за счет всех источников финансирования составляют на 2020 год 29 348 370 тыс. руб., на 2021 год – 29 567 806 тыс. руб., на 2022 год – 26 185 940 тыс. руб.</w:t>
      </w:r>
    </w:p>
    <w:p w:rsidR="00D852EB" w:rsidRDefault="00D852EB" w:rsidP="004D4F10">
      <w:pPr>
        <w:spacing w:line="276" w:lineRule="auto"/>
        <w:ind w:firstLine="851"/>
        <w:jc w:val="center"/>
        <w:rPr>
          <w:rFonts w:eastAsia="Calibri"/>
          <w:sz w:val="26"/>
          <w:szCs w:val="26"/>
        </w:rPr>
      </w:pPr>
    </w:p>
    <w:p w:rsidR="00D852EB" w:rsidRDefault="00D852EB" w:rsidP="004D4F10">
      <w:pPr>
        <w:spacing w:line="276" w:lineRule="auto"/>
        <w:ind w:firstLine="851"/>
        <w:jc w:val="center"/>
        <w:rPr>
          <w:rFonts w:eastAsia="Calibri"/>
          <w:sz w:val="26"/>
          <w:szCs w:val="26"/>
        </w:rPr>
      </w:pPr>
    </w:p>
    <w:p w:rsidR="004D4F10" w:rsidRPr="004D4F10" w:rsidRDefault="004D4F10" w:rsidP="004D4F10">
      <w:pPr>
        <w:spacing w:line="276" w:lineRule="auto"/>
        <w:ind w:firstLine="851"/>
        <w:jc w:val="center"/>
        <w:rPr>
          <w:rFonts w:eastAsia="Calibri"/>
          <w:sz w:val="26"/>
          <w:szCs w:val="26"/>
        </w:rPr>
      </w:pPr>
      <w:r w:rsidRPr="004D4F10">
        <w:rPr>
          <w:rFonts w:eastAsia="Calibri"/>
          <w:sz w:val="26"/>
          <w:szCs w:val="26"/>
        </w:rPr>
        <w:t>Проекты муниципальных программ на 2020-2022 г.г.</w:t>
      </w:r>
    </w:p>
    <w:p w:rsidR="004D4F10" w:rsidRPr="004D4F10" w:rsidRDefault="004D4F10" w:rsidP="004D4F10">
      <w:pPr>
        <w:spacing w:line="276" w:lineRule="auto"/>
        <w:ind w:firstLine="851"/>
        <w:jc w:val="center"/>
        <w:rPr>
          <w:rFonts w:eastAsia="Calibri"/>
          <w:sz w:val="26"/>
          <w:szCs w:val="26"/>
        </w:rPr>
      </w:pPr>
      <w:r w:rsidRPr="004D4F10">
        <w:rPr>
          <w:rFonts w:eastAsia="Calibri"/>
          <w:sz w:val="26"/>
          <w:szCs w:val="26"/>
        </w:rPr>
        <w:t xml:space="preserve">                                                                                                                 </w:t>
      </w:r>
      <w:r w:rsidR="00197604">
        <w:rPr>
          <w:rFonts w:eastAsia="Calibri"/>
          <w:sz w:val="26"/>
          <w:szCs w:val="26"/>
        </w:rPr>
        <w:t>(</w:t>
      </w:r>
      <w:r w:rsidRPr="004D4F10">
        <w:rPr>
          <w:rFonts w:eastAsia="Calibri"/>
          <w:sz w:val="26"/>
          <w:szCs w:val="26"/>
        </w:rPr>
        <w:t>тыс. руб.</w:t>
      </w:r>
      <w:r w:rsidR="00197604">
        <w:rPr>
          <w:rFonts w:eastAsia="Calibri"/>
          <w:sz w:val="26"/>
          <w:szCs w:val="26"/>
        </w:rPr>
        <w:t>)</w:t>
      </w:r>
    </w:p>
    <w:tbl>
      <w:tblPr>
        <w:tblW w:w="10216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1"/>
        <w:gridCol w:w="5103"/>
        <w:gridCol w:w="1417"/>
        <w:gridCol w:w="1418"/>
        <w:gridCol w:w="1417"/>
      </w:tblGrid>
      <w:tr w:rsidR="004D4F10" w:rsidRPr="00B1343B" w:rsidTr="00977572">
        <w:trPr>
          <w:trHeight w:val="330"/>
          <w:tblHeader/>
        </w:trPr>
        <w:tc>
          <w:tcPr>
            <w:tcW w:w="861" w:type="dxa"/>
            <w:vMerge w:val="restart"/>
            <w:shd w:val="clear" w:color="000000" w:fill="FFFFFF"/>
            <w:noWrap/>
            <w:vAlign w:val="center"/>
            <w:hideMark/>
          </w:tcPr>
          <w:p w:rsidR="004D4F10" w:rsidRPr="00B344AD" w:rsidRDefault="004D4F10" w:rsidP="00197604">
            <w:pPr>
              <w:jc w:val="center"/>
              <w:rPr>
                <w:bCs/>
                <w:color w:val="000000"/>
              </w:rPr>
            </w:pPr>
            <w:r w:rsidRPr="00B344AD">
              <w:rPr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B344AD">
              <w:rPr>
                <w:bCs/>
                <w:color w:val="000000"/>
              </w:rPr>
              <w:t>п</w:t>
            </w:r>
            <w:proofErr w:type="spellEnd"/>
            <w:proofErr w:type="gramEnd"/>
            <w:r w:rsidRPr="00B344AD">
              <w:rPr>
                <w:bCs/>
                <w:color w:val="000000"/>
              </w:rPr>
              <w:t>/</w:t>
            </w:r>
            <w:proofErr w:type="spellStart"/>
            <w:r w:rsidRPr="00B344AD">
              <w:rPr>
                <w:bCs/>
                <w:color w:val="000000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  <w:shd w:val="clear" w:color="000000" w:fill="FFFFFF"/>
            <w:noWrap/>
            <w:vAlign w:val="center"/>
            <w:hideMark/>
          </w:tcPr>
          <w:p w:rsidR="004D4F10" w:rsidRPr="00B344AD" w:rsidRDefault="004D4F10" w:rsidP="00197604">
            <w:pPr>
              <w:jc w:val="center"/>
              <w:rPr>
                <w:bCs/>
                <w:color w:val="000000"/>
              </w:rPr>
            </w:pPr>
            <w:r w:rsidRPr="00B344AD">
              <w:rPr>
                <w:bCs/>
                <w:color w:val="000000"/>
              </w:rPr>
              <w:t>Наименование программ</w:t>
            </w:r>
          </w:p>
        </w:tc>
        <w:tc>
          <w:tcPr>
            <w:tcW w:w="4252" w:type="dxa"/>
            <w:gridSpan w:val="3"/>
            <w:shd w:val="clear" w:color="000000" w:fill="FFFFFF"/>
            <w:vAlign w:val="center"/>
            <w:hideMark/>
          </w:tcPr>
          <w:p w:rsidR="004D4F10" w:rsidRPr="00B344AD" w:rsidRDefault="004D4F10" w:rsidP="00197604">
            <w:pPr>
              <w:jc w:val="center"/>
              <w:rPr>
                <w:bCs/>
                <w:color w:val="000000"/>
              </w:rPr>
            </w:pPr>
            <w:r w:rsidRPr="00B344AD">
              <w:rPr>
                <w:bCs/>
                <w:color w:val="000000"/>
              </w:rPr>
              <w:t>Расходы в рамках программ за счет всех источников финансирования</w:t>
            </w:r>
          </w:p>
        </w:tc>
      </w:tr>
      <w:tr w:rsidR="004D4F10" w:rsidRPr="00B1343B" w:rsidTr="00977572">
        <w:trPr>
          <w:trHeight w:val="330"/>
        </w:trPr>
        <w:tc>
          <w:tcPr>
            <w:tcW w:w="861" w:type="dxa"/>
            <w:vMerge/>
            <w:vAlign w:val="center"/>
            <w:hideMark/>
          </w:tcPr>
          <w:p w:rsidR="004D4F10" w:rsidRPr="00B344AD" w:rsidRDefault="004D4F10" w:rsidP="006E5084">
            <w:pPr>
              <w:rPr>
                <w:bCs/>
                <w:color w:val="000000"/>
              </w:rPr>
            </w:pPr>
          </w:p>
        </w:tc>
        <w:tc>
          <w:tcPr>
            <w:tcW w:w="5103" w:type="dxa"/>
            <w:vMerge/>
            <w:vAlign w:val="center"/>
            <w:hideMark/>
          </w:tcPr>
          <w:p w:rsidR="004D4F10" w:rsidRPr="00B344AD" w:rsidRDefault="004D4F10" w:rsidP="006E5084">
            <w:pPr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D4F10" w:rsidRPr="00B344AD" w:rsidRDefault="004D4F10" w:rsidP="006E5084">
            <w:pPr>
              <w:jc w:val="center"/>
              <w:rPr>
                <w:bCs/>
                <w:color w:val="000000"/>
              </w:rPr>
            </w:pPr>
            <w:r w:rsidRPr="00B344AD">
              <w:rPr>
                <w:bCs/>
                <w:color w:val="000000"/>
              </w:rPr>
              <w:t>20</w:t>
            </w:r>
            <w:r>
              <w:rPr>
                <w:bCs/>
                <w:color w:val="000000"/>
              </w:rPr>
              <w:t>20</w:t>
            </w:r>
            <w:r w:rsidRPr="00B344AD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D4F10" w:rsidRPr="00B344AD" w:rsidRDefault="004D4F10" w:rsidP="006E5084">
            <w:pPr>
              <w:jc w:val="center"/>
              <w:rPr>
                <w:bCs/>
                <w:color w:val="000000"/>
              </w:rPr>
            </w:pPr>
            <w:r w:rsidRPr="00B344AD">
              <w:rPr>
                <w:bCs/>
                <w:color w:val="000000"/>
              </w:rPr>
              <w:t>202</w:t>
            </w:r>
            <w:r>
              <w:rPr>
                <w:bCs/>
                <w:color w:val="000000"/>
              </w:rPr>
              <w:t>1</w:t>
            </w:r>
            <w:r w:rsidRPr="00B344AD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D4F10" w:rsidRPr="00B344AD" w:rsidRDefault="004D4F10" w:rsidP="006E5084">
            <w:pPr>
              <w:jc w:val="center"/>
              <w:rPr>
                <w:bCs/>
                <w:color w:val="000000"/>
              </w:rPr>
            </w:pPr>
            <w:r w:rsidRPr="00B344AD">
              <w:rPr>
                <w:bCs/>
                <w:color w:val="000000"/>
              </w:rPr>
              <w:t>202</w:t>
            </w:r>
            <w:r>
              <w:rPr>
                <w:bCs/>
                <w:color w:val="000000"/>
              </w:rPr>
              <w:t>2</w:t>
            </w:r>
            <w:r w:rsidRPr="00B344AD">
              <w:rPr>
                <w:bCs/>
                <w:color w:val="000000"/>
              </w:rPr>
              <w:t xml:space="preserve"> год</w:t>
            </w:r>
          </w:p>
        </w:tc>
      </w:tr>
      <w:tr w:rsidR="004D4F10" w:rsidRPr="00B1343B" w:rsidTr="00977572">
        <w:trPr>
          <w:trHeight w:val="960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6E5084">
            <w:pPr>
              <w:jc w:val="center"/>
              <w:rPr>
                <w:color w:val="000000"/>
              </w:rPr>
            </w:pPr>
            <w:r w:rsidRPr="00B1343B"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:rsidR="004D4F10" w:rsidRPr="00B1343B" w:rsidRDefault="004D4F10" w:rsidP="006E5084">
            <w:pPr>
              <w:rPr>
                <w:color w:val="000000"/>
              </w:rPr>
            </w:pPr>
            <w:r w:rsidRPr="00B1343B">
              <w:rPr>
                <w:color w:val="000000"/>
              </w:rPr>
              <w:t>Охрана окружающей среды и рациональное природопользование в границах Новокузнецкого городского округа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B1343B">
              <w:rPr>
                <w:color w:val="000000"/>
              </w:rPr>
              <w:t xml:space="preserve"> 1</w:t>
            </w:r>
            <w:r>
              <w:rPr>
                <w:color w:val="000000"/>
              </w:rPr>
              <w:t>38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B1343B">
              <w:rPr>
                <w:color w:val="000000"/>
              </w:rPr>
              <w:t xml:space="preserve"> 1</w:t>
            </w:r>
            <w:r>
              <w:rPr>
                <w:color w:val="000000"/>
              </w:rPr>
              <w:t>38</w:t>
            </w:r>
          </w:p>
        </w:tc>
      </w:tr>
      <w:tr w:rsidR="004D4F10" w:rsidRPr="00B1343B" w:rsidTr="00977572">
        <w:trPr>
          <w:trHeight w:val="64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6E5084">
            <w:pPr>
              <w:jc w:val="center"/>
              <w:rPr>
                <w:color w:val="000000"/>
              </w:rPr>
            </w:pPr>
            <w:r w:rsidRPr="00B1343B">
              <w:rPr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:rsidR="004D4F10" w:rsidRPr="00B1343B" w:rsidRDefault="004D4F10" w:rsidP="006E5084">
            <w:pPr>
              <w:rPr>
                <w:color w:val="000000"/>
              </w:rPr>
            </w:pPr>
            <w:r w:rsidRPr="00B1343B">
              <w:rPr>
                <w:color w:val="000000"/>
              </w:rPr>
              <w:t>Основные направления развития территории Новокузнецкого городского округа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 w:rsidRPr="00B1343B">
              <w:rPr>
                <w:color w:val="000000"/>
              </w:rPr>
              <w:t>1</w:t>
            </w:r>
            <w:r>
              <w:rPr>
                <w:color w:val="000000"/>
              </w:rPr>
              <w:t>23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904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285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 w:rsidRPr="00B1343B">
              <w:rPr>
                <w:color w:val="000000"/>
              </w:rPr>
              <w:t>8</w:t>
            </w:r>
            <w:r>
              <w:rPr>
                <w:color w:val="000000"/>
              </w:rPr>
              <w:t>4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285</w:t>
            </w:r>
          </w:p>
        </w:tc>
      </w:tr>
      <w:tr w:rsidR="004D4F10" w:rsidRPr="00B1343B" w:rsidTr="00977572">
        <w:trPr>
          <w:trHeight w:val="561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6E5084">
            <w:pPr>
              <w:jc w:val="center"/>
              <w:rPr>
                <w:color w:val="000000"/>
              </w:rPr>
            </w:pPr>
            <w:r w:rsidRPr="00B1343B">
              <w:rPr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:rsidR="004D4F10" w:rsidRPr="00B1343B" w:rsidRDefault="004D4F10" w:rsidP="006E5084">
            <w:pPr>
              <w:rPr>
                <w:color w:val="000000"/>
              </w:rPr>
            </w:pPr>
            <w:r w:rsidRPr="00B1343B">
              <w:rPr>
                <w:color w:val="000000"/>
              </w:rPr>
              <w:t>Комплексное благоустройство Новокузнецкого городского округа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537</w:t>
            </w:r>
            <w:r w:rsidRPr="00B1343B">
              <w:rPr>
                <w:color w:val="000000"/>
              </w:rPr>
              <w:t xml:space="preserve"> 8</w:t>
            </w:r>
            <w:r>
              <w:rPr>
                <w:color w:val="000000"/>
              </w:rPr>
              <w:t>28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249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172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348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190</w:t>
            </w:r>
          </w:p>
        </w:tc>
      </w:tr>
      <w:tr w:rsidR="004D4F10" w:rsidRPr="00B1343B" w:rsidTr="00977572">
        <w:trPr>
          <w:trHeight w:val="537"/>
        </w:trPr>
        <w:tc>
          <w:tcPr>
            <w:tcW w:w="861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6E5084">
            <w:pPr>
              <w:jc w:val="center"/>
              <w:rPr>
                <w:color w:val="000000"/>
              </w:rPr>
            </w:pPr>
            <w:r w:rsidRPr="00B1343B">
              <w:rPr>
                <w:color w:val="000000"/>
              </w:rPr>
              <w:t>4</w:t>
            </w:r>
          </w:p>
        </w:tc>
        <w:tc>
          <w:tcPr>
            <w:tcW w:w="5103" w:type="dxa"/>
            <w:shd w:val="clear" w:color="000000" w:fill="FFFFFF"/>
            <w:vAlign w:val="bottom"/>
            <w:hideMark/>
          </w:tcPr>
          <w:p w:rsidR="004D4F10" w:rsidRPr="00B1343B" w:rsidRDefault="004D4F10" w:rsidP="006E5084">
            <w:pPr>
              <w:rPr>
                <w:color w:val="000000"/>
              </w:rPr>
            </w:pPr>
            <w:r w:rsidRPr="00B1343B">
              <w:rPr>
                <w:color w:val="000000"/>
              </w:rPr>
              <w:t>Развитие жилищно-коммунального хозяйства города Новокузнецка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514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549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 w:rsidRPr="00B1343B">
              <w:rPr>
                <w:color w:val="000000"/>
              </w:rPr>
              <w:t xml:space="preserve">2 </w:t>
            </w:r>
            <w:r>
              <w:rPr>
                <w:color w:val="000000"/>
              </w:rPr>
              <w:t>566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178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800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322</w:t>
            </w:r>
          </w:p>
        </w:tc>
      </w:tr>
      <w:tr w:rsidR="004D4F10" w:rsidRPr="00B1343B" w:rsidTr="00977572">
        <w:trPr>
          <w:trHeight w:val="274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6E5084">
            <w:pPr>
              <w:jc w:val="center"/>
              <w:rPr>
                <w:color w:val="000000"/>
              </w:rPr>
            </w:pPr>
            <w:r w:rsidRPr="00B1343B">
              <w:rPr>
                <w:color w:val="000000"/>
              </w:rPr>
              <w:t>5</w:t>
            </w:r>
          </w:p>
        </w:tc>
        <w:tc>
          <w:tcPr>
            <w:tcW w:w="5103" w:type="dxa"/>
            <w:shd w:val="clear" w:color="auto" w:fill="auto"/>
            <w:hideMark/>
          </w:tcPr>
          <w:p w:rsidR="004D4F10" w:rsidRPr="00B1343B" w:rsidRDefault="004D4F10" w:rsidP="006E5084">
            <w:pPr>
              <w:rPr>
                <w:color w:val="000000"/>
              </w:rPr>
            </w:pPr>
            <w:r w:rsidRPr="00B1343B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 w:rsidRPr="00B1343B">
              <w:rPr>
                <w:color w:val="000000"/>
              </w:rPr>
              <w:t>24</w:t>
            </w:r>
            <w:r>
              <w:rPr>
                <w:color w:val="000000"/>
              </w:rPr>
              <w:t>1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964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 w:rsidRPr="00B1343B">
              <w:rPr>
                <w:color w:val="000000"/>
              </w:rPr>
              <w:t>2</w:t>
            </w:r>
            <w:r>
              <w:rPr>
                <w:color w:val="000000"/>
              </w:rPr>
              <w:t>38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 w:rsidRPr="00B1343B">
              <w:rPr>
                <w:color w:val="000000"/>
              </w:rPr>
              <w:t>2</w:t>
            </w:r>
            <w:r>
              <w:rPr>
                <w:color w:val="000000"/>
              </w:rPr>
              <w:t>38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217</w:t>
            </w:r>
          </w:p>
        </w:tc>
      </w:tr>
      <w:tr w:rsidR="004D4F10" w:rsidRPr="00B1343B" w:rsidTr="00977572">
        <w:trPr>
          <w:trHeight w:val="742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6E5084">
            <w:pPr>
              <w:jc w:val="center"/>
              <w:rPr>
                <w:color w:val="000000"/>
              </w:rPr>
            </w:pPr>
            <w:r w:rsidRPr="00B1343B">
              <w:rPr>
                <w:color w:val="000000"/>
              </w:rPr>
              <w:t>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:rsidR="004D4F10" w:rsidRPr="00B1343B" w:rsidRDefault="004D4F10" w:rsidP="006E5084">
            <w:pPr>
              <w:rPr>
                <w:color w:val="000000"/>
              </w:rPr>
            </w:pPr>
            <w:r w:rsidRPr="00B1343B">
              <w:rPr>
                <w:color w:val="000000"/>
              </w:rPr>
              <w:t>Обеспечение жилыми помещениями отдельных категорий граждан города Новокузнецка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835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327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131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 w:rsidRPr="00B1343B">
              <w:rPr>
                <w:color w:val="000000"/>
              </w:rPr>
              <w:t>1</w:t>
            </w:r>
            <w:r>
              <w:rPr>
                <w:color w:val="000000"/>
              </w:rPr>
              <w:t>71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643</w:t>
            </w:r>
          </w:p>
        </w:tc>
      </w:tr>
      <w:tr w:rsidR="004D4F10" w:rsidRPr="00B1343B" w:rsidTr="00977572">
        <w:trPr>
          <w:trHeight w:val="330"/>
        </w:trPr>
        <w:tc>
          <w:tcPr>
            <w:tcW w:w="861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6E5084">
            <w:pPr>
              <w:jc w:val="center"/>
              <w:rPr>
                <w:color w:val="000000"/>
              </w:rPr>
            </w:pPr>
            <w:r w:rsidRPr="00B1343B">
              <w:rPr>
                <w:color w:val="000000"/>
              </w:rPr>
              <w:t>7</w:t>
            </w:r>
          </w:p>
        </w:tc>
        <w:tc>
          <w:tcPr>
            <w:tcW w:w="5103" w:type="dxa"/>
            <w:shd w:val="clear" w:color="000000" w:fill="FFFFFF"/>
            <w:hideMark/>
          </w:tcPr>
          <w:p w:rsidR="004D4F10" w:rsidRPr="00B1343B" w:rsidRDefault="004D4F10" w:rsidP="006E5084">
            <w:pPr>
              <w:rPr>
                <w:color w:val="000000"/>
              </w:rPr>
            </w:pPr>
            <w:r w:rsidRPr="00B1343B">
              <w:rPr>
                <w:color w:val="000000"/>
              </w:rPr>
              <w:t>Развитие культуры в городе Новокузнецке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886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441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796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473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666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366</w:t>
            </w:r>
          </w:p>
        </w:tc>
      </w:tr>
      <w:tr w:rsidR="004D4F10" w:rsidRPr="00B1343B" w:rsidTr="00977572">
        <w:trPr>
          <w:trHeight w:val="926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6E5084">
            <w:pPr>
              <w:jc w:val="center"/>
              <w:rPr>
                <w:color w:val="000000"/>
              </w:rPr>
            </w:pPr>
            <w:r w:rsidRPr="00B1343B">
              <w:rPr>
                <w:color w:val="000000"/>
              </w:rPr>
              <w:t>8</w:t>
            </w:r>
          </w:p>
        </w:tc>
        <w:tc>
          <w:tcPr>
            <w:tcW w:w="5103" w:type="dxa"/>
            <w:shd w:val="clear" w:color="auto" w:fill="auto"/>
            <w:hideMark/>
          </w:tcPr>
          <w:p w:rsidR="004D4F10" w:rsidRPr="00B1343B" w:rsidRDefault="004D4F10" w:rsidP="006E5084">
            <w:pPr>
              <w:rPr>
                <w:color w:val="000000"/>
              </w:rPr>
            </w:pPr>
            <w:r w:rsidRPr="00B1343B">
              <w:rPr>
                <w:color w:val="000000"/>
              </w:rPr>
              <w:t>Организация и развитие пассажирских перевозок и  координация работы операторов связи на территории Новокузнецкого городского округа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 w:rsidRPr="00B1343B">
              <w:rPr>
                <w:color w:val="000000"/>
              </w:rPr>
              <w:t xml:space="preserve">3 </w:t>
            </w:r>
            <w:r>
              <w:rPr>
                <w:color w:val="000000"/>
              </w:rPr>
              <w:t>918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B1343B">
              <w:rPr>
                <w:color w:val="000000"/>
              </w:rPr>
              <w:t xml:space="preserve"> 4</w:t>
            </w:r>
            <w:r>
              <w:rPr>
                <w:color w:val="000000"/>
              </w:rPr>
              <w:t>53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159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902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946</w:t>
            </w:r>
          </w:p>
        </w:tc>
      </w:tr>
      <w:tr w:rsidR="004D4F10" w:rsidRPr="00B1343B" w:rsidTr="00977572">
        <w:trPr>
          <w:trHeight w:val="517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6E5084">
            <w:pPr>
              <w:jc w:val="center"/>
              <w:rPr>
                <w:color w:val="000000"/>
              </w:rPr>
            </w:pPr>
            <w:r w:rsidRPr="00B1343B">
              <w:rPr>
                <w:color w:val="000000"/>
              </w:rPr>
              <w:t>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:rsidR="004D4F10" w:rsidRPr="00B1343B" w:rsidRDefault="004D4F10" w:rsidP="006E5084">
            <w:pPr>
              <w:rPr>
                <w:color w:val="000000"/>
              </w:rPr>
            </w:pPr>
            <w:r w:rsidRPr="00B1343B">
              <w:rPr>
                <w:color w:val="000000"/>
              </w:rPr>
              <w:t>Управление муниципальным имуществом Новокузнецкого городского округа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328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828</w:t>
            </w:r>
          </w:p>
        </w:tc>
      </w:tr>
      <w:tr w:rsidR="004D4F10" w:rsidRPr="00B1343B" w:rsidTr="00977572">
        <w:trPr>
          <w:trHeight w:val="64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6E5084">
            <w:pPr>
              <w:jc w:val="center"/>
              <w:rPr>
                <w:color w:val="000000"/>
              </w:rPr>
            </w:pPr>
            <w:r w:rsidRPr="00B1343B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:rsidR="004D4F10" w:rsidRPr="00B1343B" w:rsidRDefault="004D4F10" w:rsidP="006E5084">
            <w:pPr>
              <w:rPr>
                <w:color w:val="000000"/>
              </w:rPr>
            </w:pPr>
            <w:r w:rsidRPr="00B1343B">
              <w:rPr>
                <w:color w:val="000000"/>
              </w:rPr>
              <w:t>Развитие субъектов малого и среднего предпринимательства в городе Новокузнецке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</w:t>
            </w:r>
            <w:r w:rsidRPr="00B1343B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Pr="00B1343B">
              <w:rPr>
                <w:color w:val="000000"/>
              </w:rPr>
              <w:t xml:space="preserve">3 </w:t>
            </w:r>
            <w:r>
              <w:rPr>
                <w:color w:val="000000"/>
              </w:rPr>
              <w:t>293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5 303</w:t>
            </w:r>
          </w:p>
        </w:tc>
      </w:tr>
      <w:tr w:rsidR="004D4F10" w:rsidRPr="00B1343B" w:rsidTr="00977572">
        <w:trPr>
          <w:trHeight w:val="473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6E5084">
            <w:pPr>
              <w:jc w:val="center"/>
              <w:rPr>
                <w:color w:val="000000"/>
              </w:rPr>
            </w:pPr>
            <w:r w:rsidRPr="00B1343B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hideMark/>
          </w:tcPr>
          <w:p w:rsidR="004D4F10" w:rsidRPr="00B1343B" w:rsidRDefault="004D4F10" w:rsidP="006E5084">
            <w:pPr>
              <w:rPr>
                <w:color w:val="000000"/>
              </w:rPr>
            </w:pPr>
            <w:r w:rsidRPr="00B1343B">
              <w:rPr>
                <w:color w:val="000000"/>
              </w:rPr>
              <w:t>Реализация молодёжной политики в городе Новокузнецке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 w:rsidRPr="00B1343B">
              <w:rPr>
                <w:color w:val="000000"/>
              </w:rPr>
              <w:t>1</w:t>
            </w:r>
            <w:r>
              <w:rPr>
                <w:color w:val="000000"/>
              </w:rPr>
              <w:t>8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841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 w:rsidRPr="00B1343B">
              <w:rPr>
                <w:color w:val="000000"/>
              </w:rPr>
              <w:t>1</w:t>
            </w:r>
            <w:r>
              <w:rPr>
                <w:color w:val="000000"/>
              </w:rPr>
              <w:t>8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031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 w:rsidRPr="00B1343B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460</w:t>
            </w:r>
          </w:p>
        </w:tc>
      </w:tr>
      <w:tr w:rsidR="004D4F10" w:rsidRPr="00B1343B" w:rsidTr="00977572">
        <w:trPr>
          <w:trHeight w:val="645"/>
        </w:trPr>
        <w:tc>
          <w:tcPr>
            <w:tcW w:w="861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6E5084">
            <w:pPr>
              <w:jc w:val="center"/>
              <w:rPr>
                <w:color w:val="000000"/>
              </w:rPr>
            </w:pPr>
            <w:r w:rsidRPr="00B1343B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  <w:tc>
          <w:tcPr>
            <w:tcW w:w="5103" w:type="dxa"/>
            <w:shd w:val="clear" w:color="000000" w:fill="FFFFFF"/>
            <w:hideMark/>
          </w:tcPr>
          <w:p w:rsidR="004D4F10" w:rsidRPr="00B1343B" w:rsidRDefault="004D4F10" w:rsidP="006E5084">
            <w:pPr>
              <w:rPr>
                <w:color w:val="000000"/>
              </w:rPr>
            </w:pPr>
            <w:r w:rsidRPr="00B1343B">
              <w:rPr>
                <w:color w:val="000000"/>
              </w:rPr>
              <w:t>Развитие физической культуры и массового спорта Новокузнецкого городского округа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317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 w:rsidRPr="00B1343B">
              <w:rPr>
                <w:color w:val="000000"/>
              </w:rPr>
              <w:t>3</w:t>
            </w:r>
            <w:r>
              <w:rPr>
                <w:color w:val="000000"/>
              </w:rPr>
              <w:t>57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317</w:t>
            </w:r>
          </w:p>
        </w:tc>
      </w:tr>
      <w:tr w:rsidR="004D4F10" w:rsidRPr="00B1343B" w:rsidTr="00977572">
        <w:trPr>
          <w:trHeight w:val="582"/>
        </w:trPr>
        <w:tc>
          <w:tcPr>
            <w:tcW w:w="861" w:type="dxa"/>
            <w:shd w:val="clear" w:color="000000" w:fill="FFFFFF"/>
            <w:vAlign w:val="bottom"/>
            <w:hideMark/>
          </w:tcPr>
          <w:p w:rsidR="004D4F10" w:rsidRPr="00B1343B" w:rsidRDefault="004D4F10" w:rsidP="006E5084">
            <w:pPr>
              <w:jc w:val="center"/>
              <w:rPr>
                <w:color w:val="000000"/>
              </w:rPr>
            </w:pPr>
            <w:r w:rsidRPr="00B1343B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5103" w:type="dxa"/>
            <w:shd w:val="clear" w:color="000000" w:fill="FFFFFF"/>
            <w:vAlign w:val="bottom"/>
            <w:hideMark/>
          </w:tcPr>
          <w:p w:rsidR="004D4F10" w:rsidRPr="00B1343B" w:rsidRDefault="004D4F10" w:rsidP="006E5084">
            <w:pPr>
              <w:rPr>
                <w:color w:val="000000"/>
              </w:rPr>
            </w:pPr>
            <w:r w:rsidRPr="00B1343B">
              <w:rPr>
                <w:color w:val="000000"/>
              </w:rPr>
              <w:t>Развитие и функционирование системы образования города Новокузнецка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227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350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120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813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084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124</w:t>
            </w:r>
          </w:p>
        </w:tc>
      </w:tr>
      <w:tr w:rsidR="004D4F10" w:rsidRPr="00B1343B" w:rsidTr="00977572">
        <w:trPr>
          <w:trHeight w:val="760"/>
        </w:trPr>
        <w:tc>
          <w:tcPr>
            <w:tcW w:w="861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6E5084">
            <w:pPr>
              <w:jc w:val="center"/>
              <w:rPr>
                <w:color w:val="000000"/>
              </w:rPr>
            </w:pPr>
            <w:r w:rsidRPr="00B1343B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</w:p>
        </w:tc>
        <w:tc>
          <w:tcPr>
            <w:tcW w:w="5103" w:type="dxa"/>
            <w:shd w:val="clear" w:color="000000" w:fill="FFFFFF"/>
            <w:hideMark/>
          </w:tcPr>
          <w:p w:rsidR="004D4F10" w:rsidRPr="00B1343B" w:rsidRDefault="004D4F10" w:rsidP="006E5084">
            <w:pPr>
              <w:rPr>
                <w:color w:val="000000"/>
              </w:rPr>
            </w:pPr>
            <w:r w:rsidRPr="00B1343B">
              <w:rPr>
                <w:color w:val="000000"/>
              </w:rPr>
              <w:t>Защита прав детей-сирот и детей, оставшихся без попечения родителей, прав недееспособных граждан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  <w:r w:rsidRPr="00B1343B">
              <w:rPr>
                <w:color w:val="000000"/>
              </w:rPr>
              <w:t xml:space="preserve"> 1</w:t>
            </w:r>
            <w:r>
              <w:rPr>
                <w:color w:val="000000"/>
              </w:rPr>
              <w:t>53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154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154</w:t>
            </w:r>
          </w:p>
        </w:tc>
      </w:tr>
      <w:tr w:rsidR="004D4F10" w:rsidRPr="00B1343B" w:rsidTr="00977572">
        <w:trPr>
          <w:trHeight w:val="418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6E5084">
            <w:pPr>
              <w:jc w:val="center"/>
              <w:rPr>
                <w:color w:val="000000"/>
              </w:rPr>
            </w:pPr>
            <w:r w:rsidRPr="00B1343B">
              <w:rPr>
                <w:color w:val="000000"/>
              </w:rPr>
              <w:lastRenderedPageBreak/>
              <w:t>1</w:t>
            </w:r>
            <w:r>
              <w:rPr>
                <w:color w:val="000000"/>
              </w:rPr>
              <w:t>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:rsidR="004D4F10" w:rsidRPr="00B1343B" w:rsidRDefault="004D4F10" w:rsidP="006E5084">
            <w:pPr>
              <w:rPr>
                <w:color w:val="000000"/>
              </w:rPr>
            </w:pPr>
            <w:r w:rsidRPr="00B1343B">
              <w:rPr>
                <w:color w:val="000000"/>
              </w:rPr>
              <w:t>Развитие системы социальной защиты населения города Новокузнецка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 w:rsidRPr="00B1343B">
              <w:rPr>
                <w:color w:val="000000"/>
              </w:rPr>
              <w:t xml:space="preserve">3 </w:t>
            </w:r>
            <w:r>
              <w:rPr>
                <w:color w:val="000000"/>
              </w:rPr>
              <w:t>477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372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 w:rsidRPr="00B1343B">
              <w:rPr>
                <w:color w:val="000000"/>
              </w:rPr>
              <w:t xml:space="preserve">3 </w:t>
            </w:r>
            <w:r>
              <w:rPr>
                <w:color w:val="000000"/>
              </w:rPr>
              <w:t>507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032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 w:rsidRPr="00B1343B">
              <w:rPr>
                <w:color w:val="000000"/>
              </w:rPr>
              <w:t xml:space="preserve">3 </w:t>
            </w:r>
            <w:r>
              <w:rPr>
                <w:color w:val="000000"/>
              </w:rPr>
              <w:t>513</w:t>
            </w:r>
            <w:r w:rsidRPr="00B1343B">
              <w:rPr>
                <w:color w:val="000000"/>
              </w:rPr>
              <w:t xml:space="preserve"> 9</w:t>
            </w:r>
            <w:r>
              <w:rPr>
                <w:color w:val="000000"/>
              </w:rPr>
              <w:t>76</w:t>
            </w:r>
          </w:p>
        </w:tc>
      </w:tr>
      <w:tr w:rsidR="004D4F10" w:rsidRPr="00B1343B" w:rsidTr="00977572">
        <w:trPr>
          <w:trHeight w:val="69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6E5084">
            <w:pPr>
              <w:jc w:val="center"/>
              <w:rPr>
                <w:color w:val="000000"/>
              </w:rPr>
            </w:pPr>
            <w:r w:rsidRPr="00B1343B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</w:p>
        </w:tc>
        <w:tc>
          <w:tcPr>
            <w:tcW w:w="5103" w:type="dxa"/>
            <w:shd w:val="clear" w:color="auto" w:fill="auto"/>
            <w:hideMark/>
          </w:tcPr>
          <w:p w:rsidR="004D4F10" w:rsidRPr="00B1343B" w:rsidRDefault="004D4F10" w:rsidP="006E5084">
            <w:pPr>
              <w:rPr>
                <w:color w:val="000000"/>
              </w:rPr>
            </w:pPr>
            <w:r w:rsidRPr="00B1343B">
              <w:rPr>
                <w:color w:val="000000"/>
              </w:rPr>
              <w:t>Поддержка социально ориентированных некоммерческих организаций в городе Новокузнецке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269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B1343B">
              <w:rPr>
                <w:color w:val="000000"/>
              </w:rPr>
              <w:t xml:space="preserve"> 3</w:t>
            </w:r>
            <w:r>
              <w:rPr>
                <w:color w:val="000000"/>
              </w:rPr>
              <w:t>0</w:t>
            </w:r>
            <w:r w:rsidRPr="00B1343B">
              <w:rPr>
                <w:color w:val="000000"/>
              </w:rPr>
              <w:t>0</w:t>
            </w:r>
          </w:p>
        </w:tc>
      </w:tr>
      <w:tr w:rsidR="004D4F10" w:rsidRPr="00B1343B" w:rsidTr="00977572">
        <w:trPr>
          <w:trHeight w:val="437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6E5084">
            <w:pPr>
              <w:jc w:val="center"/>
              <w:rPr>
                <w:color w:val="000000"/>
              </w:rPr>
            </w:pPr>
            <w:r w:rsidRPr="00B1343B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:rsidR="004D4F10" w:rsidRPr="00B1343B" w:rsidRDefault="004D4F10" w:rsidP="006E5084">
            <w:pPr>
              <w:rPr>
                <w:color w:val="000000"/>
              </w:rPr>
            </w:pPr>
            <w:r w:rsidRPr="00B1343B">
              <w:rPr>
                <w:color w:val="000000"/>
              </w:rPr>
              <w:t>Управление муниципальными финансами Новокузнецкого городского округа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380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 w:rsidRPr="00B1343B">
              <w:rPr>
                <w:color w:val="000000"/>
              </w:rPr>
              <w:t>2</w:t>
            </w:r>
            <w:r>
              <w:rPr>
                <w:color w:val="000000"/>
              </w:rPr>
              <w:t>97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444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574</w:t>
            </w:r>
          </w:p>
        </w:tc>
      </w:tr>
      <w:tr w:rsidR="004D4F10" w:rsidRPr="00B1343B" w:rsidTr="00977572">
        <w:trPr>
          <w:trHeight w:val="44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6E5084">
            <w:pPr>
              <w:jc w:val="center"/>
              <w:rPr>
                <w:color w:val="000000"/>
              </w:rPr>
            </w:pPr>
            <w:r w:rsidRPr="00B1343B">
              <w:rPr>
                <w:color w:val="000000"/>
              </w:rPr>
              <w:t>1</w:t>
            </w:r>
            <w:r>
              <w:rPr>
                <w:color w:val="000000"/>
              </w:rPr>
              <w:t>8</w:t>
            </w:r>
          </w:p>
        </w:tc>
        <w:tc>
          <w:tcPr>
            <w:tcW w:w="5103" w:type="dxa"/>
            <w:shd w:val="clear" w:color="auto" w:fill="auto"/>
            <w:hideMark/>
          </w:tcPr>
          <w:p w:rsidR="004D4F10" w:rsidRPr="00B1343B" w:rsidRDefault="004D4F10" w:rsidP="006E5084">
            <w:pPr>
              <w:rPr>
                <w:color w:val="000000"/>
              </w:rPr>
            </w:pPr>
            <w:r w:rsidRPr="00B1343B">
              <w:rPr>
                <w:color w:val="000000"/>
              </w:rPr>
              <w:t>Управление капиталовложениями Новокузнецкого городского округа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664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B1343B">
              <w:rPr>
                <w:color w:val="000000"/>
              </w:rPr>
              <w:t xml:space="preserve"> 3</w:t>
            </w:r>
            <w:r>
              <w:rPr>
                <w:color w:val="000000"/>
              </w:rPr>
              <w:t>64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B1343B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920</w:t>
            </w:r>
          </w:p>
        </w:tc>
      </w:tr>
      <w:tr w:rsidR="004D4F10" w:rsidRPr="00B1343B" w:rsidTr="00977572">
        <w:trPr>
          <w:trHeight w:val="723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6E50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103" w:type="dxa"/>
            <w:shd w:val="clear" w:color="auto" w:fill="auto"/>
            <w:hideMark/>
          </w:tcPr>
          <w:p w:rsidR="004D4F10" w:rsidRPr="00B1343B" w:rsidRDefault="004D4F10" w:rsidP="006E5084">
            <w:pPr>
              <w:rPr>
                <w:color w:val="000000"/>
              </w:rPr>
            </w:pPr>
            <w:r w:rsidRPr="00B1343B">
              <w:rPr>
                <w:color w:val="000000"/>
              </w:rPr>
              <w:t>Формирование современной городской среды на территории Новокузнецкого городского округа на 2018-2022 годы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586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786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D4F10" w:rsidRPr="00B1343B" w:rsidTr="00977572">
        <w:trPr>
          <w:trHeight w:val="64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6E5084">
            <w:pPr>
              <w:jc w:val="center"/>
              <w:rPr>
                <w:color w:val="000000"/>
              </w:rPr>
            </w:pPr>
            <w:r w:rsidRPr="00B1343B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5103" w:type="dxa"/>
            <w:shd w:val="clear" w:color="auto" w:fill="auto"/>
            <w:hideMark/>
          </w:tcPr>
          <w:p w:rsidR="004D4F10" w:rsidRPr="00B1343B" w:rsidRDefault="004D4F10" w:rsidP="006E5084">
            <w:pPr>
              <w:rPr>
                <w:color w:val="000000"/>
              </w:rPr>
            </w:pPr>
            <w:r w:rsidRPr="00B1343B">
              <w:rPr>
                <w:color w:val="000000"/>
              </w:rPr>
              <w:t>Обеспечение комфортного проживания в секторе индивидуальной жилой застройки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482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762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753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195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color w:val="000000"/>
              </w:rPr>
            </w:pPr>
            <w:r w:rsidRPr="00B1343B">
              <w:rPr>
                <w:color w:val="000000"/>
              </w:rPr>
              <w:t>2</w:t>
            </w:r>
            <w:r>
              <w:rPr>
                <w:color w:val="000000"/>
              </w:rPr>
              <w:t>43</w:t>
            </w:r>
            <w:r w:rsidRPr="00B134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876</w:t>
            </w:r>
          </w:p>
        </w:tc>
      </w:tr>
      <w:tr w:rsidR="004D4F10" w:rsidRPr="00B1343B" w:rsidTr="00977572">
        <w:trPr>
          <w:trHeight w:val="330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6E5084">
            <w:pPr>
              <w:jc w:val="center"/>
              <w:rPr>
                <w:color w:val="000000"/>
              </w:rPr>
            </w:pPr>
            <w:r w:rsidRPr="00B1343B">
              <w:rPr>
                <w:color w:val="000000"/>
              </w:rPr>
              <w:t> 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6E5084">
            <w:pPr>
              <w:rPr>
                <w:b/>
                <w:bCs/>
                <w:color w:val="000000"/>
              </w:rPr>
            </w:pPr>
            <w:r w:rsidRPr="00B1343B">
              <w:rPr>
                <w:b/>
                <w:bCs/>
                <w:color w:val="000000"/>
              </w:rPr>
              <w:t>ВСЕГО по программам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b/>
                <w:bCs/>
                <w:color w:val="000000"/>
              </w:rPr>
            </w:pPr>
            <w:r w:rsidRPr="00B1343B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9</w:t>
            </w:r>
            <w:r w:rsidRPr="00B1343B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348</w:t>
            </w:r>
            <w:r w:rsidRPr="00B1343B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370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b/>
                <w:bCs/>
                <w:color w:val="000000"/>
              </w:rPr>
            </w:pPr>
            <w:r w:rsidRPr="00B1343B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9</w:t>
            </w:r>
            <w:r w:rsidRPr="00B1343B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567</w:t>
            </w:r>
            <w:r w:rsidRPr="00B1343B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806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D4F10" w:rsidRPr="00B1343B" w:rsidRDefault="004D4F10" w:rsidP="00197604">
            <w:pPr>
              <w:jc w:val="right"/>
              <w:rPr>
                <w:b/>
                <w:bCs/>
                <w:color w:val="000000"/>
              </w:rPr>
            </w:pPr>
            <w:r w:rsidRPr="00B1343B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6</w:t>
            </w:r>
            <w:r w:rsidRPr="00B1343B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185</w:t>
            </w:r>
            <w:r w:rsidRPr="00B1343B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940</w:t>
            </w:r>
          </w:p>
        </w:tc>
      </w:tr>
    </w:tbl>
    <w:p w:rsidR="004D4F10" w:rsidRDefault="004D4F10" w:rsidP="004D4F10">
      <w:pPr>
        <w:ind w:firstLine="851"/>
        <w:jc w:val="both"/>
        <w:rPr>
          <w:rFonts w:eastAsia="Calibri"/>
        </w:rPr>
      </w:pPr>
    </w:p>
    <w:p w:rsidR="004D4F10" w:rsidRPr="004D4F10" w:rsidRDefault="004D4F10" w:rsidP="004D4F10">
      <w:pPr>
        <w:spacing w:line="276" w:lineRule="auto"/>
        <w:ind w:firstLine="851"/>
        <w:jc w:val="both"/>
        <w:rPr>
          <w:rFonts w:eastAsia="Calibri"/>
          <w:sz w:val="26"/>
          <w:szCs w:val="26"/>
        </w:rPr>
      </w:pPr>
      <w:r w:rsidRPr="004D4F10">
        <w:rPr>
          <w:rFonts w:eastAsia="Calibri"/>
          <w:sz w:val="26"/>
          <w:szCs w:val="26"/>
        </w:rPr>
        <w:t xml:space="preserve">Доля программных расходов бюджета города на 2020 год составила 97,7%. </w:t>
      </w:r>
    </w:p>
    <w:p w:rsidR="004D4F10" w:rsidRPr="004D4F10" w:rsidRDefault="004D4F10" w:rsidP="004D4F10">
      <w:pPr>
        <w:spacing w:line="276" w:lineRule="auto"/>
        <w:ind w:firstLine="851"/>
        <w:jc w:val="both"/>
        <w:rPr>
          <w:rFonts w:eastAsia="Calibri"/>
          <w:sz w:val="26"/>
          <w:szCs w:val="26"/>
        </w:rPr>
      </w:pPr>
      <w:r w:rsidRPr="004D4F10">
        <w:rPr>
          <w:rFonts w:eastAsia="Calibri"/>
          <w:sz w:val="26"/>
          <w:szCs w:val="26"/>
        </w:rPr>
        <w:t>Наибольший удельный вес в программных расходах 2020-2022 годов занимают следующие программы:</w:t>
      </w:r>
    </w:p>
    <w:p w:rsidR="004D4F10" w:rsidRPr="0044023F" w:rsidRDefault="00A24E19" w:rsidP="0044023F">
      <w:pPr>
        <w:pStyle w:val="af1"/>
        <w:numPr>
          <w:ilvl w:val="0"/>
          <w:numId w:val="2"/>
        </w:numPr>
        <w:tabs>
          <w:tab w:val="left" w:pos="0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44023F">
        <w:rPr>
          <w:rFonts w:eastAsia="Calibri"/>
          <w:sz w:val="26"/>
          <w:szCs w:val="26"/>
        </w:rPr>
        <w:t xml:space="preserve"> </w:t>
      </w:r>
      <w:r w:rsidR="004D4F10" w:rsidRPr="0044023F">
        <w:rPr>
          <w:rFonts w:eastAsia="Calibri"/>
          <w:sz w:val="26"/>
          <w:szCs w:val="26"/>
        </w:rPr>
        <w:t>«Развитие и функционирование системы образования города Новокузнецка» - 39%;</w:t>
      </w:r>
    </w:p>
    <w:p w:rsidR="004D4F10" w:rsidRPr="0044023F" w:rsidRDefault="00A24E19" w:rsidP="0044023F">
      <w:pPr>
        <w:pStyle w:val="af1"/>
        <w:numPr>
          <w:ilvl w:val="0"/>
          <w:numId w:val="2"/>
        </w:numPr>
        <w:tabs>
          <w:tab w:val="left" w:pos="0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44023F">
        <w:rPr>
          <w:rFonts w:eastAsia="Calibri"/>
          <w:sz w:val="26"/>
          <w:szCs w:val="26"/>
        </w:rPr>
        <w:t xml:space="preserve"> </w:t>
      </w:r>
      <w:r w:rsidR="004D4F10" w:rsidRPr="0044023F">
        <w:rPr>
          <w:rFonts w:eastAsia="Calibri"/>
          <w:sz w:val="26"/>
          <w:szCs w:val="26"/>
        </w:rPr>
        <w:t>«Организация и развитие пассажирских перевозок и координация работы операторов связи на территории Новокузнецкого городского округа» - 17%</w:t>
      </w:r>
      <w:r w:rsidRPr="0044023F">
        <w:rPr>
          <w:rFonts w:eastAsia="Calibri"/>
          <w:sz w:val="26"/>
          <w:szCs w:val="26"/>
        </w:rPr>
        <w:t>;</w:t>
      </w:r>
    </w:p>
    <w:p w:rsidR="004D4F10" w:rsidRPr="0044023F" w:rsidRDefault="00A24E19" w:rsidP="0044023F">
      <w:pPr>
        <w:pStyle w:val="af1"/>
        <w:numPr>
          <w:ilvl w:val="0"/>
          <w:numId w:val="2"/>
        </w:numPr>
        <w:tabs>
          <w:tab w:val="left" w:pos="0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44023F">
        <w:rPr>
          <w:rFonts w:eastAsia="Calibri"/>
          <w:sz w:val="26"/>
          <w:szCs w:val="26"/>
        </w:rPr>
        <w:t xml:space="preserve"> </w:t>
      </w:r>
      <w:r w:rsidR="004D4F10" w:rsidRPr="0044023F">
        <w:rPr>
          <w:rFonts w:eastAsia="Calibri"/>
          <w:sz w:val="26"/>
          <w:szCs w:val="26"/>
        </w:rPr>
        <w:t>«Развитие системы социальной защиты населения города Новокузнецка» - 12%;</w:t>
      </w:r>
    </w:p>
    <w:p w:rsidR="004D4F10" w:rsidRPr="0044023F" w:rsidRDefault="00A24E19" w:rsidP="0044023F">
      <w:pPr>
        <w:pStyle w:val="af1"/>
        <w:numPr>
          <w:ilvl w:val="0"/>
          <w:numId w:val="2"/>
        </w:numPr>
        <w:tabs>
          <w:tab w:val="left" w:pos="0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44023F">
        <w:rPr>
          <w:rFonts w:eastAsia="Calibri"/>
          <w:sz w:val="26"/>
          <w:szCs w:val="26"/>
        </w:rPr>
        <w:t xml:space="preserve"> </w:t>
      </w:r>
      <w:r w:rsidR="004D4F10" w:rsidRPr="0044023F">
        <w:rPr>
          <w:rFonts w:eastAsia="Calibri"/>
          <w:sz w:val="26"/>
          <w:szCs w:val="26"/>
        </w:rPr>
        <w:t>«Комплексное благоустройство территории Новокузн</w:t>
      </w:r>
      <w:r w:rsidRPr="0044023F">
        <w:rPr>
          <w:rFonts w:eastAsia="Calibri"/>
          <w:sz w:val="26"/>
          <w:szCs w:val="26"/>
        </w:rPr>
        <w:t>ецкого городского округа» - 11%;</w:t>
      </w:r>
    </w:p>
    <w:p w:rsidR="004D4F10" w:rsidRPr="0044023F" w:rsidRDefault="00A24E19" w:rsidP="0044023F">
      <w:pPr>
        <w:pStyle w:val="af1"/>
        <w:numPr>
          <w:ilvl w:val="0"/>
          <w:numId w:val="2"/>
        </w:numPr>
        <w:tabs>
          <w:tab w:val="left" w:pos="0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44023F">
        <w:rPr>
          <w:rFonts w:eastAsia="Calibri"/>
          <w:sz w:val="26"/>
          <w:szCs w:val="26"/>
        </w:rPr>
        <w:t xml:space="preserve"> </w:t>
      </w:r>
      <w:r w:rsidR="004D4F10" w:rsidRPr="0044023F">
        <w:rPr>
          <w:rFonts w:eastAsia="Calibri"/>
          <w:sz w:val="26"/>
          <w:szCs w:val="26"/>
        </w:rPr>
        <w:t>«Развитие жилищно-коммунального хозя</w:t>
      </w:r>
      <w:r w:rsidRPr="0044023F">
        <w:rPr>
          <w:rFonts w:eastAsia="Calibri"/>
          <w:sz w:val="26"/>
          <w:szCs w:val="26"/>
        </w:rPr>
        <w:t>йства города Новокузнецка» - 9%.</w:t>
      </w:r>
    </w:p>
    <w:p w:rsidR="004D4F10" w:rsidRPr="004D4F10" w:rsidRDefault="004D4F10" w:rsidP="00A24E19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4D4F10">
        <w:rPr>
          <w:rFonts w:eastAsia="Calibri"/>
          <w:sz w:val="26"/>
          <w:szCs w:val="26"/>
        </w:rPr>
        <w:t xml:space="preserve">Непрограммные направления расходов в бюджете на 2020 год </w:t>
      </w:r>
      <w:r w:rsidRPr="004D4F10">
        <w:rPr>
          <w:rFonts w:eastAsia="Calibri"/>
          <w:b/>
          <w:sz w:val="26"/>
          <w:szCs w:val="26"/>
        </w:rPr>
        <w:t>по предложениям ГРБС</w:t>
      </w:r>
      <w:r w:rsidRPr="004D4F10">
        <w:rPr>
          <w:rFonts w:eastAsia="Calibri"/>
          <w:sz w:val="26"/>
          <w:szCs w:val="26"/>
        </w:rPr>
        <w:t xml:space="preserve"> составляют </w:t>
      </w:r>
      <w:r w:rsidR="005F0E35">
        <w:rPr>
          <w:rFonts w:eastAsia="Calibri"/>
          <w:sz w:val="26"/>
          <w:szCs w:val="26"/>
        </w:rPr>
        <w:t>692</w:t>
      </w:r>
      <w:r w:rsidRPr="004D4F10">
        <w:rPr>
          <w:rFonts w:eastAsia="Calibri"/>
          <w:sz w:val="26"/>
          <w:szCs w:val="26"/>
        </w:rPr>
        <w:t> </w:t>
      </w:r>
      <w:r w:rsidR="005F0E35">
        <w:rPr>
          <w:rFonts w:eastAsia="Calibri"/>
          <w:sz w:val="26"/>
          <w:szCs w:val="26"/>
        </w:rPr>
        <w:t>337</w:t>
      </w:r>
      <w:r w:rsidRPr="004D4F10">
        <w:rPr>
          <w:rFonts w:eastAsia="Calibri"/>
          <w:sz w:val="26"/>
          <w:szCs w:val="26"/>
        </w:rPr>
        <w:t xml:space="preserve"> тыс. руб., или 2,3 % от общей суммы расходов, на 2021 год – 617 366 тыс. руб., на 2022 год – 530 017 тыс. руб. или по 2% ежегодно.</w:t>
      </w:r>
    </w:p>
    <w:p w:rsidR="004D4F10" w:rsidRPr="004D4F10" w:rsidRDefault="004D4F10" w:rsidP="00A24E19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4D4F10">
        <w:rPr>
          <w:rFonts w:eastAsia="Calibri"/>
          <w:sz w:val="26"/>
          <w:szCs w:val="26"/>
        </w:rPr>
        <w:t>В непрограммные направления вошли расходы, не классифицируемые по целям достижений:</w:t>
      </w:r>
    </w:p>
    <w:p w:rsidR="004D4F10" w:rsidRPr="00B716CE" w:rsidRDefault="004D4F10" w:rsidP="00B716CE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716CE">
        <w:rPr>
          <w:rFonts w:eastAsia="Calibri"/>
          <w:sz w:val="26"/>
          <w:szCs w:val="26"/>
        </w:rPr>
        <w:t>расходы на содержание администрации города Новокузнецка и районных администраций;</w:t>
      </w:r>
    </w:p>
    <w:p w:rsidR="004D4F10" w:rsidRPr="00B716CE" w:rsidRDefault="004D4F10" w:rsidP="00B716CE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716CE">
        <w:rPr>
          <w:rFonts w:eastAsia="Calibri"/>
          <w:sz w:val="26"/>
          <w:szCs w:val="26"/>
        </w:rPr>
        <w:t>расходы на содержание Комитета городского контроля, Совета народных депутатов и муниципальной избирательной комиссии;</w:t>
      </w:r>
    </w:p>
    <w:p w:rsidR="004D4F10" w:rsidRPr="00B716CE" w:rsidRDefault="004D4F10" w:rsidP="00B716CE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716CE">
        <w:rPr>
          <w:rFonts w:eastAsia="Calibri"/>
          <w:sz w:val="26"/>
          <w:szCs w:val="26"/>
        </w:rPr>
        <w:t>расходы на содержание МБУ «Архив города Новокузнецка»;</w:t>
      </w:r>
    </w:p>
    <w:p w:rsidR="004D4F10" w:rsidRPr="00B716CE" w:rsidRDefault="004D4F10" w:rsidP="00B716CE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716CE">
        <w:rPr>
          <w:rFonts w:eastAsia="Calibri"/>
          <w:sz w:val="26"/>
          <w:szCs w:val="26"/>
        </w:rPr>
        <w:t>расходы на доставку питьевой воды в частный сектор, не подключенный к централизованному водоснабжению;</w:t>
      </w:r>
    </w:p>
    <w:p w:rsidR="004D4F10" w:rsidRPr="00B716CE" w:rsidRDefault="004D4F10" w:rsidP="00B716CE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716CE">
        <w:rPr>
          <w:rFonts w:eastAsia="Calibri"/>
          <w:sz w:val="26"/>
          <w:szCs w:val="26"/>
        </w:rPr>
        <w:t>расходы на проведение мероприятий, в том числе транспортные услуги;</w:t>
      </w:r>
    </w:p>
    <w:p w:rsidR="004D4F10" w:rsidRPr="00B716CE" w:rsidRDefault="004D4F10" w:rsidP="00B716CE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716CE">
        <w:rPr>
          <w:rFonts w:eastAsia="Calibri"/>
          <w:sz w:val="26"/>
          <w:szCs w:val="26"/>
        </w:rPr>
        <w:lastRenderedPageBreak/>
        <w:t>услуги по начислению и учету платежей за пользование жилыми помещениями (платы за наем), являющимися муниципальной собственностью НГО;</w:t>
      </w:r>
    </w:p>
    <w:p w:rsidR="004D4F10" w:rsidRPr="00B716CE" w:rsidRDefault="004D4F10" w:rsidP="00B716CE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716CE">
        <w:rPr>
          <w:rFonts w:eastAsia="Calibri"/>
          <w:sz w:val="26"/>
          <w:szCs w:val="26"/>
        </w:rPr>
        <w:t>снос производственных строений, скважин ТУ Листвяги, и прочие.</w:t>
      </w:r>
    </w:p>
    <w:p w:rsidR="004D4F10" w:rsidRPr="004D4F10" w:rsidRDefault="001A074D" w:rsidP="00A24E19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>В соответствии с</w:t>
      </w:r>
      <w:r w:rsidR="004D4F10" w:rsidRPr="004D4F10">
        <w:rPr>
          <w:rFonts w:eastAsia="Calibri"/>
          <w:sz w:val="26"/>
          <w:szCs w:val="26"/>
        </w:rPr>
        <w:t xml:space="preserve"> </w:t>
      </w:r>
      <w:r w:rsidR="004D4F10" w:rsidRPr="004D4F10">
        <w:rPr>
          <w:rFonts w:eastAsia="Calibri"/>
          <w:b/>
          <w:sz w:val="26"/>
          <w:szCs w:val="26"/>
        </w:rPr>
        <w:t>предложени</w:t>
      </w:r>
      <w:r>
        <w:rPr>
          <w:rFonts w:eastAsia="Calibri"/>
          <w:b/>
          <w:sz w:val="26"/>
          <w:szCs w:val="26"/>
        </w:rPr>
        <w:t>ями</w:t>
      </w:r>
      <w:r w:rsidR="004D4F10" w:rsidRPr="004D4F10">
        <w:rPr>
          <w:rFonts w:eastAsia="Calibri"/>
          <w:b/>
          <w:sz w:val="26"/>
          <w:szCs w:val="26"/>
        </w:rPr>
        <w:t xml:space="preserve"> ГРБС</w:t>
      </w:r>
      <w:r w:rsidR="004D4F10" w:rsidRPr="004D4F10">
        <w:rPr>
          <w:rFonts w:eastAsia="Calibri"/>
          <w:sz w:val="26"/>
          <w:szCs w:val="26"/>
        </w:rPr>
        <w:t xml:space="preserve"> общая сумма расходов на </w:t>
      </w:r>
      <w:r w:rsidR="004D4F10" w:rsidRPr="004D4F10">
        <w:rPr>
          <w:rFonts w:eastAsia="Calibri"/>
          <w:b/>
          <w:sz w:val="26"/>
          <w:szCs w:val="26"/>
        </w:rPr>
        <w:t>исполнение местных полномочий</w:t>
      </w:r>
      <w:r w:rsidR="004D4F10" w:rsidRPr="004D4F10">
        <w:rPr>
          <w:rFonts w:eastAsia="Calibri"/>
          <w:sz w:val="26"/>
          <w:szCs w:val="26"/>
        </w:rPr>
        <w:t xml:space="preserve"> в 2020 году составляет </w:t>
      </w:r>
      <w:r w:rsidR="004D4F10" w:rsidRPr="004D4F10">
        <w:rPr>
          <w:rFonts w:eastAsia="Calibri"/>
          <w:b/>
          <w:sz w:val="26"/>
          <w:szCs w:val="26"/>
        </w:rPr>
        <w:t>17 9</w:t>
      </w:r>
      <w:r w:rsidR="005F0E35">
        <w:rPr>
          <w:rFonts w:eastAsia="Calibri"/>
          <w:b/>
          <w:sz w:val="26"/>
          <w:szCs w:val="26"/>
        </w:rPr>
        <w:t>02</w:t>
      </w:r>
      <w:r w:rsidR="004D4F10" w:rsidRPr="004D4F10">
        <w:rPr>
          <w:rFonts w:eastAsia="Calibri"/>
          <w:b/>
          <w:sz w:val="26"/>
          <w:szCs w:val="26"/>
        </w:rPr>
        <w:t> </w:t>
      </w:r>
      <w:r w:rsidR="005F0E35">
        <w:rPr>
          <w:rFonts w:eastAsia="Calibri"/>
          <w:b/>
          <w:sz w:val="26"/>
          <w:szCs w:val="26"/>
        </w:rPr>
        <w:t>944</w:t>
      </w:r>
      <w:r w:rsidR="004D4F10" w:rsidRPr="004D4F10">
        <w:rPr>
          <w:b/>
          <w:sz w:val="26"/>
          <w:szCs w:val="26"/>
        </w:rPr>
        <w:t xml:space="preserve"> тыс. руб., </w:t>
      </w:r>
      <w:r w:rsidR="004D4F10" w:rsidRPr="004D4F10">
        <w:rPr>
          <w:sz w:val="26"/>
          <w:szCs w:val="26"/>
        </w:rPr>
        <w:t xml:space="preserve">в 2021 году – 18 420 943 тыс. руб., в 2022 году – 16 514 763 тыс. руб. </w:t>
      </w:r>
    </w:p>
    <w:p w:rsidR="001A074D" w:rsidRDefault="001A074D" w:rsidP="00A24E19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целях формирования проекта бюджета все расходы группированы следующим образом.</w:t>
      </w:r>
    </w:p>
    <w:p w:rsidR="004D4F10" w:rsidRPr="004D4F10" w:rsidRDefault="001A074D" w:rsidP="00A24E19">
      <w:pPr>
        <w:spacing w:line="276" w:lineRule="auto"/>
        <w:ind w:firstLine="567"/>
        <w:jc w:val="both"/>
        <w:rPr>
          <w:sz w:val="26"/>
          <w:szCs w:val="26"/>
          <w:u w:val="single"/>
        </w:rPr>
      </w:pPr>
      <w:r w:rsidRPr="001A074D">
        <w:rPr>
          <w:sz w:val="26"/>
          <w:szCs w:val="26"/>
        </w:rPr>
        <w:t>Сумма расходов на</w:t>
      </w:r>
      <w:r>
        <w:rPr>
          <w:b/>
          <w:sz w:val="26"/>
          <w:szCs w:val="26"/>
        </w:rPr>
        <w:t xml:space="preserve"> о</w:t>
      </w:r>
      <w:r w:rsidR="004D4F10" w:rsidRPr="001A074D">
        <w:rPr>
          <w:b/>
          <w:sz w:val="26"/>
          <w:szCs w:val="26"/>
        </w:rPr>
        <w:t>бязательные</w:t>
      </w:r>
      <w:r>
        <w:rPr>
          <w:sz w:val="26"/>
          <w:szCs w:val="26"/>
        </w:rPr>
        <w:t xml:space="preserve"> направления в 2020 году составляет </w:t>
      </w:r>
      <w:r w:rsidRPr="001A074D">
        <w:rPr>
          <w:sz w:val="26"/>
          <w:szCs w:val="26"/>
        </w:rPr>
        <w:t>6 538 789</w:t>
      </w:r>
      <w:r w:rsidRPr="001A074D">
        <w:rPr>
          <w:b/>
          <w:sz w:val="26"/>
          <w:szCs w:val="26"/>
        </w:rPr>
        <w:t xml:space="preserve"> </w:t>
      </w:r>
      <w:r w:rsidRPr="001A074D">
        <w:rPr>
          <w:sz w:val="26"/>
          <w:szCs w:val="26"/>
        </w:rPr>
        <w:t>тыс</w:t>
      </w:r>
      <w:proofErr w:type="gramStart"/>
      <w:r w:rsidRPr="001A074D">
        <w:rPr>
          <w:sz w:val="26"/>
          <w:szCs w:val="26"/>
        </w:rPr>
        <w:t>.р</w:t>
      </w:r>
      <w:proofErr w:type="gramEnd"/>
      <w:r w:rsidRPr="001A074D">
        <w:rPr>
          <w:sz w:val="26"/>
          <w:szCs w:val="26"/>
        </w:rPr>
        <w:t>уб</w:t>
      </w:r>
      <w:r>
        <w:rPr>
          <w:sz w:val="26"/>
          <w:szCs w:val="26"/>
        </w:rPr>
        <w:t>.</w:t>
      </w:r>
      <w:r w:rsidR="004D4F10" w:rsidRPr="004D4F10">
        <w:rPr>
          <w:sz w:val="26"/>
          <w:szCs w:val="26"/>
        </w:rPr>
        <w:t>, в том числе:</w:t>
      </w:r>
    </w:p>
    <w:p w:rsidR="004D4F10" w:rsidRPr="00B05456" w:rsidRDefault="004D4F10" w:rsidP="00B05456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05456">
        <w:rPr>
          <w:rFonts w:eastAsia="Calibri"/>
          <w:sz w:val="26"/>
          <w:szCs w:val="26"/>
        </w:rPr>
        <w:t>фонд оплаты труда работников муниципальных учреждений, согласованный с Главным финансовым управлением АКО, в сумме 4 013 295 тыс. руб. (без аутсорсинга);</w:t>
      </w:r>
    </w:p>
    <w:p w:rsidR="004D4F10" w:rsidRPr="00B05456" w:rsidRDefault="004D4F10" w:rsidP="00B05456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05456">
        <w:rPr>
          <w:rFonts w:eastAsia="Calibri"/>
          <w:sz w:val="26"/>
          <w:szCs w:val="26"/>
        </w:rPr>
        <w:t>заработная плата работников отраслей экономики, СМИ  и аутсорсинг (образовательных учреждений и учреждений культуры) в сумме 1 999 207 тыс. руб.;</w:t>
      </w:r>
    </w:p>
    <w:p w:rsidR="004D4F10" w:rsidRPr="00B05456" w:rsidRDefault="004D4F10" w:rsidP="00B05456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05456">
        <w:rPr>
          <w:rFonts w:eastAsia="Calibri"/>
          <w:sz w:val="26"/>
          <w:szCs w:val="26"/>
        </w:rPr>
        <w:t>-</w:t>
      </w:r>
      <w:r w:rsidR="00A24E19" w:rsidRPr="00B05456">
        <w:rPr>
          <w:rFonts w:eastAsia="Calibri"/>
          <w:sz w:val="26"/>
          <w:szCs w:val="26"/>
        </w:rPr>
        <w:t xml:space="preserve"> </w:t>
      </w:r>
      <w:r w:rsidRPr="00B05456">
        <w:rPr>
          <w:rFonts w:eastAsia="Calibri"/>
          <w:sz w:val="26"/>
          <w:szCs w:val="26"/>
        </w:rPr>
        <w:t>меры социальной поддержки, в том числе оказываемые населению в сумме 151 460 тыс. руб.;</w:t>
      </w:r>
    </w:p>
    <w:p w:rsidR="004D4F10" w:rsidRPr="00B05456" w:rsidRDefault="004D4F10" w:rsidP="00B05456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05456">
        <w:rPr>
          <w:rFonts w:eastAsia="Calibri"/>
          <w:sz w:val="26"/>
          <w:szCs w:val="26"/>
        </w:rPr>
        <w:t>предпринимательская и иная приносящая доход деятельность казенных учреждений в сумме 54 084 тыс. руб.;</w:t>
      </w:r>
    </w:p>
    <w:p w:rsidR="004D4F10" w:rsidRPr="00B05456" w:rsidRDefault="004D4F10" w:rsidP="00B05456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05456">
        <w:rPr>
          <w:rFonts w:eastAsia="Calibri"/>
          <w:sz w:val="26"/>
          <w:szCs w:val="26"/>
        </w:rPr>
        <w:t>резервный фонд, проценты по обслуживанию муниципального долга, оплата по исполнительным документам, расходы на дополнительные выборы в НГСНД - 320 744 тыс. руб.</w:t>
      </w:r>
    </w:p>
    <w:p w:rsidR="004D4F10" w:rsidRPr="004D4F10" w:rsidRDefault="001A074D" w:rsidP="00A24E19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Расходы на </w:t>
      </w:r>
      <w:r w:rsidRPr="001A074D">
        <w:rPr>
          <w:rFonts w:eastAsia="Calibri"/>
          <w:b/>
          <w:sz w:val="26"/>
          <w:szCs w:val="26"/>
        </w:rPr>
        <w:t>в</w:t>
      </w:r>
      <w:r w:rsidR="004D4F10" w:rsidRPr="001A074D">
        <w:rPr>
          <w:rFonts w:eastAsia="Calibri"/>
          <w:b/>
          <w:sz w:val="26"/>
          <w:szCs w:val="26"/>
        </w:rPr>
        <w:t>ажные</w:t>
      </w:r>
      <w:r>
        <w:rPr>
          <w:rFonts w:eastAsia="Calibri"/>
          <w:sz w:val="26"/>
          <w:szCs w:val="26"/>
        </w:rPr>
        <w:t xml:space="preserve"> направления расходов в 2020 году составляет </w:t>
      </w:r>
      <w:r w:rsidRPr="001A074D">
        <w:rPr>
          <w:rFonts w:eastAsia="Calibri"/>
          <w:sz w:val="26"/>
          <w:szCs w:val="26"/>
        </w:rPr>
        <w:t>3 866 654</w:t>
      </w:r>
      <w:r>
        <w:rPr>
          <w:rFonts w:eastAsia="Calibri"/>
          <w:sz w:val="26"/>
          <w:szCs w:val="26"/>
        </w:rPr>
        <w:t xml:space="preserve"> тыс. руб.</w:t>
      </w:r>
      <w:r w:rsidR="004D4F10" w:rsidRPr="004D4F10">
        <w:rPr>
          <w:rFonts w:eastAsia="Calibri"/>
          <w:sz w:val="26"/>
          <w:szCs w:val="26"/>
        </w:rPr>
        <w:t>, в том числе:</w:t>
      </w:r>
    </w:p>
    <w:p w:rsidR="004D4F10" w:rsidRPr="00B05456" w:rsidRDefault="004D4F10" w:rsidP="00B05456">
      <w:pPr>
        <w:pStyle w:val="af1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05456">
        <w:rPr>
          <w:rFonts w:eastAsia="Calibri"/>
          <w:sz w:val="26"/>
          <w:szCs w:val="26"/>
        </w:rPr>
        <w:t xml:space="preserve">оплата налогов </w:t>
      </w:r>
      <w:r w:rsidR="00A24E19" w:rsidRPr="00B05456">
        <w:rPr>
          <w:rFonts w:eastAsia="Calibri"/>
          <w:sz w:val="26"/>
          <w:szCs w:val="26"/>
        </w:rPr>
        <w:t xml:space="preserve">в сумме </w:t>
      </w:r>
      <w:r w:rsidRPr="00B05456">
        <w:rPr>
          <w:rFonts w:eastAsia="Calibri"/>
          <w:sz w:val="26"/>
          <w:szCs w:val="26"/>
        </w:rPr>
        <w:t>142 888 тыс. руб.;</w:t>
      </w:r>
    </w:p>
    <w:p w:rsidR="004D4F10" w:rsidRPr="00B05456" w:rsidRDefault="004D4F10" w:rsidP="00B05456">
      <w:pPr>
        <w:pStyle w:val="af1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05456">
        <w:rPr>
          <w:rFonts w:eastAsia="Calibri"/>
          <w:sz w:val="26"/>
          <w:szCs w:val="26"/>
        </w:rPr>
        <w:t xml:space="preserve">коммунальные расходы муниципальных учреждений и расчеты с РСО (без учета кредиторской задолженности) </w:t>
      </w:r>
      <w:r w:rsidR="00A24E19" w:rsidRPr="00B05456">
        <w:rPr>
          <w:rFonts w:eastAsia="Calibri"/>
          <w:sz w:val="26"/>
          <w:szCs w:val="26"/>
        </w:rPr>
        <w:t>в сумме</w:t>
      </w:r>
      <w:r w:rsidRPr="00B05456">
        <w:rPr>
          <w:rFonts w:eastAsia="Calibri"/>
          <w:sz w:val="26"/>
          <w:szCs w:val="26"/>
        </w:rPr>
        <w:t xml:space="preserve"> 3 001 875 тыс. руб.;</w:t>
      </w:r>
    </w:p>
    <w:p w:rsidR="004D4F10" w:rsidRPr="00B05456" w:rsidRDefault="004D4F10" w:rsidP="00B05456">
      <w:pPr>
        <w:pStyle w:val="af1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05456">
        <w:rPr>
          <w:rFonts w:eastAsia="Calibri"/>
          <w:sz w:val="26"/>
          <w:szCs w:val="26"/>
        </w:rPr>
        <w:t>расходы на содержание учреждений, в том числе на связь, ГСМ, охрана, содержание мест накопления ТКО и прочие расходы в сумме  433 380 тыс. руб</w:t>
      </w:r>
    </w:p>
    <w:p w:rsidR="004D4F10" w:rsidRPr="00B05456" w:rsidRDefault="004D4F10" w:rsidP="00B05456">
      <w:pPr>
        <w:pStyle w:val="af1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05456">
        <w:rPr>
          <w:rFonts w:eastAsia="Calibri"/>
          <w:sz w:val="26"/>
          <w:szCs w:val="26"/>
        </w:rPr>
        <w:t>лизинговые платежи в сумме 76 924 тыс. руб.;</w:t>
      </w:r>
    </w:p>
    <w:p w:rsidR="004D4F10" w:rsidRPr="00B05456" w:rsidRDefault="004D4F10" w:rsidP="00B05456">
      <w:pPr>
        <w:pStyle w:val="af1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05456">
        <w:rPr>
          <w:rFonts w:eastAsia="Calibri"/>
          <w:sz w:val="26"/>
          <w:szCs w:val="26"/>
        </w:rPr>
        <w:t>питание в образовательных учреждениях в сумме  205 403 тыс. руб.;</w:t>
      </w:r>
    </w:p>
    <w:p w:rsidR="004D4F10" w:rsidRPr="00B05456" w:rsidRDefault="004D4F10" w:rsidP="00B05456">
      <w:pPr>
        <w:pStyle w:val="af1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b/>
          <w:sz w:val="26"/>
          <w:szCs w:val="26"/>
        </w:rPr>
      </w:pPr>
      <w:r w:rsidRPr="00B05456">
        <w:rPr>
          <w:rFonts w:eastAsia="Calibri"/>
          <w:sz w:val="26"/>
          <w:szCs w:val="26"/>
        </w:rPr>
        <w:t>расходы на пополнение материального резерва в целях ГО и ЧС в сумме 6 183  тыс. руб.</w:t>
      </w:r>
    </w:p>
    <w:p w:rsidR="004D4F10" w:rsidRPr="004D4F10" w:rsidRDefault="004D4F10" w:rsidP="00A24E19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4D4F10">
        <w:rPr>
          <w:rFonts w:eastAsia="Calibri"/>
          <w:sz w:val="26"/>
          <w:szCs w:val="26"/>
        </w:rPr>
        <w:t>В проекте бюджета на 2020 год предусмотрены расходы на приоритетные направления в сумме 1 101 032 тыс. руб.</w:t>
      </w:r>
      <w:r w:rsidR="00A24E19">
        <w:rPr>
          <w:rFonts w:eastAsia="Calibri"/>
          <w:sz w:val="26"/>
          <w:szCs w:val="26"/>
        </w:rPr>
        <w:t>, в том числе</w:t>
      </w:r>
      <w:r w:rsidRPr="004D4F10">
        <w:rPr>
          <w:rFonts w:eastAsia="Calibri"/>
          <w:sz w:val="26"/>
          <w:szCs w:val="26"/>
        </w:rPr>
        <w:t>:</w:t>
      </w:r>
    </w:p>
    <w:p w:rsidR="004D4F10" w:rsidRPr="009A73C7" w:rsidRDefault="004D4F10" w:rsidP="009A73C7">
      <w:pPr>
        <w:pStyle w:val="af1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A73C7">
        <w:rPr>
          <w:rFonts w:eastAsia="Calibri"/>
          <w:sz w:val="26"/>
          <w:szCs w:val="26"/>
        </w:rPr>
        <w:t>на софинансирование государственных и региональных программ (БКАД, комфортная среда, приобретение квартир социальной категории граждан, молодым семьям, в рамках 185-ФЗ, приобретение подвижного состава (трамваи), приобретение спортивного оборудования) в сумме 606 753 тыс. руб.;</w:t>
      </w:r>
    </w:p>
    <w:p w:rsidR="004D4F10" w:rsidRPr="009A73C7" w:rsidRDefault="004D4F10" w:rsidP="009A73C7">
      <w:pPr>
        <w:pStyle w:val="af1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A73C7">
        <w:rPr>
          <w:rFonts w:eastAsia="Calibri"/>
          <w:sz w:val="26"/>
          <w:szCs w:val="26"/>
        </w:rPr>
        <w:t>на разработку ПСД в раках подготовки к 300-летию Кузбасса в сумме  251 288 тыс. руб.;</w:t>
      </w:r>
    </w:p>
    <w:p w:rsidR="004D4F10" w:rsidRPr="009A73C7" w:rsidRDefault="004D4F10" w:rsidP="009A73C7">
      <w:pPr>
        <w:pStyle w:val="af1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A73C7">
        <w:rPr>
          <w:rFonts w:eastAsia="Calibri"/>
          <w:sz w:val="26"/>
          <w:szCs w:val="26"/>
        </w:rPr>
        <w:lastRenderedPageBreak/>
        <w:t>на мероприятия по трудоустройству несовершеннолетних, поддержка НКО, ТОС, приобретение движимого имущества в лизинг в сумме  57 073 тыс. руб.;</w:t>
      </w:r>
    </w:p>
    <w:p w:rsidR="004D4F10" w:rsidRPr="009A73C7" w:rsidRDefault="004D4F10" w:rsidP="009A73C7">
      <w:pPr>
        <w:pStyle w:val="af1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proofErr w:type="gramStart"/>
      <w:r w:rsidRPr="009A73C7">
        <w:rPr>
          <w:rFonts w:eastAsia="Calibri"/>
          <w:sz w:val="26"/>
          <w:szCs w:val="26"/>
        </w:rPr>
        <w:t>на иные приоритетные расходы в сумме 185 919 тыс. руб., из них доставка питьевой воды населению, проживающим на подработанных территориях Орджоникидзевского р</w:t>
      </w:r>
      <w:r w:rsidR="00A24E19" w:rsidRPr="009A73C7">
        <w:rPr>
          <w:rFonts w:eastAsia="Calibri"/>
          <w:sz w:val="26"/>
          <w:szCs w:val="26"/>
        </w:rPr>
        <w:t>айо</w:t>
      </w:r>
      <w:r w:rsidR="00DD07D8">
        <w:rPr>
          <w:rFonts w:eastAsia="Calibri"/>
          <w:sz w:val="26"/>
          <w:szCs w:val="26"/>
        </w:rPr>
        <w:t>на,</w:t>
      </w:r>
      <w:r w:rsidRPr="009A73C7">
        <w:rPr>
          <w:rFonts w:eastAsia="Calibri"/>
          <w:sz w:val="26"/>
          <w:szCs w:val="26"/>
        </w:rPr>
        <w:t xml:space="preserve"> Куйбышевского р</w:t>
      </w:r>
      <w:r w:rsidR="00A24E19" w:rsidRPr="009A73C7">
        <w:rPr>
          <w:rFonts w:eastAsia="Calibri"/>
          <w:sz w:val="26"/>
          <w:szCs w:val="26"/>
        </w:rPr>
        <w:t>айона</w:t>
      </w:r>
      <w:r w:rsidR="00DD07D8">
        <w:rPr>
          <w:rFonts w:eastAsia="Calibri"/>
          <w:sz w:val="26"/>
          <w:szCs w:val="26"/>
        </w:rPr>
        <w:t>, ТУ Абагур,</w:t>
      </w:r>
      <w:r w:rsidRPr="009A73C7">
        <w:rPr>
          <w:rFonts w:eastAsia="Calibri"/>
          <w:sz w:val="26"/>
          <w:szCs w:val="26"/>
        </w:rPr>
        <w:t xml:space="preserve"> пос. Форштадт в сумме 38 000 тыс. руб.; снос аварийных домов в сумме 38 235 тыс. руб.; содержание мест накопления ТКО  в сумме 65 654 тыс. руб. и прочие.</w:t>
      </w:r>
      <w:proofErr w:type="gramEnd"/>
    </w:p>
    <w:p w:rsidR="004D4F10" w:rsidRPr="004D4F10" w:rsidRDefault="004D4F10" w:rsidP="00A24E19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4D4F10">
        <w:rPr>
          <w:rFonts w:eastAsia="Calibri"/>
          <w:sz w:val="26"/>
          <w:szCs w:val="26"/>
        </w:rPr>
        <w:t>Кроме того, в проекте бюджета предусмотр</w:t>
      </w:r>
      <w:r w:rsidR="004E3467">
        <w:rPr>
          <w:rFonts w:eastAsia="Calibri"/>
          <w:sz w:val="26"/>
          <w:szCs w:val="26"/>
        </w:rPr>
        <w:t>ены прочие расходы в сумме 6 396</w:t>
      </w:r>
      <w:r w:rsidRPr="004D4F10">
        <w:rPr>
          <w:rFonts w:eastAsia="Calibri"/>
          <w:sz w:val="26"/>
          <w:szCs w:val="26"/>
        </w:rPr>
        <w:t> </w:t>
      </w:r>
      <w:r w:rsidR="004E3467">
        <w:rPr>
          <w:rFonts w:eastAsia="Calibri"/>
          <w:sz w:val="26"/>
          <w:szCs w:val="26"/>
        </w:rPr>
        <w:t>469</w:t>
      </w:r>
      <w:r w:rsidRPr="004D4F10">
        <w:rPr>
          <w:rFonts w:eastAsia="Calibri"/>
          <w:sz w:val="26"/>
          <w:szCs w:val="26"/>
        </w:rPr>
        <w:t xml:space="preserve"> тыс. руб., из них:</w:t>
      </w:r>
    </w:p>
    <w:p w:rsidR="004D4F10" w:rsidRPr="009A73C7" w:rsidRDefault="004D4F10" w:rsidP="009A73C7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A73C7">
        <w:rPr>
          <w:rFonts w:eastAsia="Calibri"/>
          <w:sz w:val="26"/>
          <w:szCs w:val="26"/>
        </w:rPr>
        <w:t>на реализацию распоряжения по подготовке к 300-летию Кузбасса (кроме ПСД) в сумме 196 376 тыс. руб.;</w:t>
      </w:r>
    </w:p>
    <w:p w:rsidR="004D4F10" w:rsidRPr="009A73C7" w:rsidRDefault="004D4F10" w:rsidP="009A73C7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A73C7">
        <w:rPr>
          <w:rFonts w:eastAsia="Calibri"/>
          <w:sz w:val="26"/>
          <w:szCs w:val="26"/>
        </w:rPr>
        <w:t>на текущий и капитальный ремонт в сумме 6</w:t>
      </w:r>
      <w:r w:rsidR="005F0E35">
        <w:rPr>
          <w:rFonts w:eastAsia="Calibri"/>
          <w:sz w:val="26"/>
          <w:szCs w:val="26"/>
        </w:rPr>
        <w:t>7</w:t>
      </w:r>
      <w:r w:rsidRPr="009A73C7">
        <w:rPr>
          <w:rFonts w:eastAsia="Calibri"/>
          <w:sz w:val="26"/>
          <w:szCs w:val="26"/>
        </w:rPr>
        <w:t>6 119 тыс. руб.;</w:t>
      </w:r>
    </w:p>
    <w:p w:rsidR="004D4F10" w:rsidRPr="009A73C7" w:rsidRDefault="004D4F10" w:rsidP="009A73C7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A73C7">
        <w:rPr>
          <w:rFonts w:eastAsia="Calibri"/>
          <w:sz w:val="26"/>
          <w:szCs w:val="26"/>
        </w:rPr>
        <w:t>на строительство и реконструкцию в сумме 667 576 тыс. руб.;</w:t>
      </w:r>
    </w:p>
    <w:p w:rsidR="004D4F10" w:rsidRPr="009A73C7" w:rsidRDefault="004D4F10" w:rsidP="009A73C7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A73C7">
        <w:rPr>
          <w:rFonts w:eastAsia="Calibri"/>
          <w:sz w:val="26"/>
          <w:szCs w:val="26"/>
        </w:rPr>
        <w:t>на разработку проектно-сметной документации в сумме 387 438 тыс. руб.;</w:t>
      </w:r>
    </w:p>
    <w:p w:rsidR="004D4F10" w:rsidRPr="009A73C7" w:rsidRDefault="004D4F10" w:rsidP="009A73C7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A73C7">
        <w:rPr>
          <w:rFonts w:eastAsia="Calibri"/>
          <w:sz w:val="26"/>
          <w:szCs w:val="26"/>
        </w:rPr>
        <w:t>на выполнение предписаний надзорных органов в сумме 293 782 тыс. руб.;</w:t>
      </w:r>
    </w:p>
    <w:p w:rsidR="004D4F10" w:rsidRPr="009A73C7" w:rsidRDefault="004D4F10" w:rsidP="009A73C7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A73C7">
        <w:rPr>
          <w:rFonts w:eastAsia="Calibri"/>
          <w:sz w:val="26"/>
          <w:szCs w:val="26"/>
        </w:rPr>
        <w:t>на модернизацию ИТ-инфраструктуры в сумме 6 000 тыс. руб.;</w:t>
      </w:r>
    </w:p>
    <w:p w:rsidR="004D4F10" w:rsidRPr="009A73C7" w:rsidRDefault="004D4F10" w:rsidP="009A73C7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A73C7">
        <w:rPr>
          <w:rFonts w:eastAsia="Calibri"/>
          <w:sz w:val="26"/>
          <w:szCs w:val="26"/>
        </w:rPr>
        <w:t>на установку АПС, видеонаблюдения, металлодетекторов и т.п. в сумме 183 545 тыс. руб.;</w:t>
      </w:r>
    </w:p>
    <w:p w:rsidR="004D4F10" w:rsidRPr="009A73C7" w:rsidRDefault="004D4F10" w:rsidP="009A73C7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A73C7">
        <w:rPr>
          <w:rFonts w:eastAsia="Calibri"/>
          <w:sz w:val="26"/>
          <w:szCs w:val="26"/>
        </w:rPr>
        <w:t xml:space="preserve">на проведение </w:t>
      </w:r>
      <w:proofErr w:type="gramStart"/>
      <w:r w:rsidRPr="009A73C7">
        <w:rPr>
          <w:rFonts w:eastAsia="Calibri"/>
          <w:sz w:val="26"/>
          <w:szCs w:val="26"/>
        </w:rPr>
        <w:t>общегородских</w:t>
      </w:r>
      <w:proofErr w:type="gramEnd"/>
      <w:r w:rsidRPr="009A73C7">
        <w:rPr>
          <w:rFonts w:eastAsia="Calibri"/>
          <w:sz w:val="26"/>
          <w:szCs w:val="26"/>
        </w:rPr>
        <w:t xml:space="preserve"> мероприятия в сумме 52 051 тыс. руб.;</w:t>
      </w:r>
    </w:p>
    <w:p w:rsidR="004D4F10" w:rsidRPr="009A73C7" w:rsidRDefault="004D4F10" w:rsidP="009A73C7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A73C7">
        <w:rPr>
          <w:rFonts w:eastAsia="Calibri"/>
          <w:sz w:val="26"/>
          <w:szCs w:val="26"/>
        </w:rPr>
        <w:t>на прочие расходы в сумме 3 93</w:t>
      </w:r>
      <w:r w:rsidR="005F0E35">
        <w:rPr>
          <w:rFonts w:eastAsia="Calibri"/>
          <w:sz w:val="26"/>
          <w:szCs w:val="26"/>
        </w:rPr>
        <w:t>3</w:t>
      </w:r>
      <w:r w:rsidRPr="009A73C7">
        <w:rPr>
          <w:rFonts w:eastAsia="Calibri"/>
          <w:sz w:val="26"/>
          <w:szCs w:val="26"/>
        </w:rPr>
        <w:t> </w:t>
      </w:r>
      <w:r w:rsidR="005F0E35">
        <w:rPr>
          <w:rFonts w:eastAsia="Calibri"/>
          <w:sz w:val="26"/>
          <w:szCs w:val="26"/>
        </w:rPr>
        <w:t>582</w:t>
      </w:r>
      <w:r w:rsidRPr="009A73C7">
        <w:rPr>
          <w:rFonts w:eastAsia="Calibri"/>
          <w:sz w:val="26"/>
          <w:szCs w:val="26"/>
        </w:rPr>
        <w:t xml:space="preserve"> тыс. руб., в том числе на погашение кредиторской задолженности перед РСО в сумме 1 149 398 тыс. руб.</w:t>
      </w:r>
    </w:p>
    <w:p w:rsidR="004D4F10" w:rsidRDefault="004D4F10" w:rsidP="00A24E19">
      <w:pPr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4D4F10">
        <w:rPr>
          <w:color w:val="000000"/>
          <w:sz w:val="26"/>
          <w:szCs w:val="26"/>
        </w:rPr>
        <w:t xml:space="preserve">Ключевыми задачами бюджетной политики на 2020 год и на плановый период 2021 и 2022 годов являются обеспечение сбалансированности бюджета Новокузнецкого городского округа и безусловное исполнение принятых обязательств наиболее эффективным способом. </w:t>
      </w:r>
    </w:p>
    <w:p w:rsidR="001A074D" w:rsidRDefault="001A074D" w:rsidP="001A074D">
      <w:pPr>
        <w:spacing w:line="276" w:lineRule="auto"/>
        <w:ind w:firstLine="567"/>
        <w:jc w:val="both"/>
        <w:rPr>
          <w:b/>
          <w:sz w:val="26"/>
          <w:szCs w:val="26"/>
        </w:rPr>
      </w:pPr>
      <w:r>
        <w:rPr>
          <w:color w:val="000000"/>
          <w:sz w:val="26"/>
          <w:szCs w:val="26"/>
        </w:rPr>
        <w:t>Ф</w:t>
      </w:r>
      <w:r w:rsidRPr="004D4F10">
        <w:rPr>
          <w:color w:val="000000"/>
          <w:sz w:val="26"/>
          <w:szCs w:val="26"/>
        </w:rPr>
        <w:t>ормирование проекта бюджета города происходило в условиях ог</w:t>
      </w:r>
      <w:r>
        <w:rPr>
          <w:color w:val="000000"/>
          <w:sz w:val="26"/>
          <w:szCs w:val="26"/>
        </w:rPr>
        <w:t>раниченности бюджетных ресурсов -</w:t>
      </w:r>
      <w:r w:rsidR="004D4F10" w:rsidRPr="004D4F10">
        <w:rPr>
          <w:sz w:val="26"/>
          <w:szCs w:val="26"/>
        </w:rPr>
        <w:t xml:space="preserve"> доходная часть бюджета Новокузнецкого городского округа, с учетом источников финансирования дефицита бюджета, </w:t>
      </w:r>
      <w:r w:rsidR="004D4F10" w:rsidRPr="004D4F10">
        <w:rPr>
          <w:b/>
          <w:sz w:val="26"/>
          <w:szCs w:val="26"/>
        </w:rPr>
        <w:t>на 2020 го</w:t>
      </w:r>
      <w:r>
        <w:rPr>
          <w:b/>
          <w:sz w:val="26"/>
          <w:szCs w:val="26"/>
        </w:rPr>
        <w:t xml:space="preserve">д </w:t>
      </w:r>
      <w:r w:rsidRPr="003D5BA3">
        <w:rPr>
          <w:sz w:val="26"/>
          <w:szCs w:val="26"/>
        </w:rPr>
        <w:t xml:space="preserve">составит </w:t>
      </w:r>
      <w:r w:rsidR="003D5BA3">
        <w:rPr>
          <w:sz w:val="26"/>
          <w:szCs w:val="26"/>
        </w:rPr>
        <w:t>всего</w:t>
      </w:r>
      <w:r w:rsidR="003D5BA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10 302 701 тыс. руб.</w:t>
      </w:r>
      <w:r w:rsidR="004D4F10" w:rsidRPr="004D4F10">
        <w:rPr>
          <w:b/>
          <w:sz w:val="26"/>
          <w:szCs w:val="26"/>
        </w:rPr>
        <w:t xml:space="preserve"> </w:t>
      </w:r>
    </w:p>
    <w:p w:rsidR="004D4F10" w:rsidRPr="001A074D" w:rsidRDefault="001A074D" w:rsidP="001A074D">
      <w:pPr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1A074D">
        <w:rPr>
          <w:sz w:val="26"/>
          <w:szCs w:val="26"/>
        </w:rPr>
        <w:t>Таким образом,</w:t>
      </w:r>
      <w:r>
        <w:rPr>
          <w:b/>
          <w:sz w:val="26"/>
          <w:szCs w:val="26"/>
        </w:rPr>
        <w:t xml:space="preserve"> </w:t>
      </w:r>
      <w:r w:rsidR="004D4F10" w:rsidRPr="004D4F10">
        <w:rPr>
          <w:b/>
          <w:sz w:val="26"/>
          <w:szCs w:val="26"/>
        </w:rPr>
        <w:t xml:space="preserve">расходы по предложениям ГРБС </w:t>
      </w:r>
      <w:r w:rsidR="004D4F10" w:rsidRPr="004D4F10">
        <w:rPr>
          <w:rFonts w:eastAsia="Calibri"/>
          <w:b/>
          <w:sz w:val="26"/>
          <w:szCs w:val="26"/>
        </w:rPr>
        <w:t>даже на обязательные и важные направления в полном объеме</w:t>
      </w:r>
      <w:r w:rsidR="004D4F10" w:rsidRPr="004D4F10">
        <w:rPr>
          <w:rFonts w:eastAsia="Calibri"/>
          <w:sz w:val="26"/>
          <w:szCs w:val="26"/>
        </w:rPr>
        <w:t xml:space="preserve"> учесть не представляется возможным.</w:t>
      </w:r>
    </w:p>
    <w:p w:rsidR="004D4F10" w:rsidRPr="004D4F10" w:rsidRDefault="004D4F10" w:rsidP="00A24E19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4D4F10">
        <w:rPr>
          <w:rFonts w:eastAsia="Calibri"/>
          <w:sz w:val="26"/>
          <w:szCs w:val="26"/>
        </w:rPr>
        <w:t xml:space="preserve">Для соблюдения принципа сбалансированности, в основе проекта расходной части бюджета Новокузнецкого городского округа обязательные расходы учтены в 100% объеме от потребности. </w:t>
      </w:r>
    </w:p>
    <w:p w:rsidR="004D4F10" w:rsidRPr="004D4F10" w:rsidRDefault="004D4F10" w:rsidP="00A24E19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4D4F10">
        <w:rPr>
          <w:rFonts w:eastAsia="Calibri"/>
          <w:sz w:val="26"/>
          <w:szCs w:val="26"/>
        </w:rPr>
        <w:t xml:space="preserve">Расходы на оплату налогов, коммунальных услуг, на содержание учреждений учтены на 9 месяцев от </w:t>
      </w:r>
      <w:r w:rsidR="003D5BA3">
        <w:rPr>
          <w:rFonts w:eastAsia="Calibri"/>
          <w:sz w:val="26"/>
          <w:szCs w:val="26"/>
        </w:rPr>
        <w:t>годовой потребности;</w:t>
      </w:r>
      <w:r w:rsidRPr="004D4F10">
        <w:rPr>
          <w:rFonts w:eastAsia="Calibri"/>
          <w:sz w:val="26"/>
          <w:szCs w:val="26"/>
        </w:rPr>
        <w:t xml:space="preserve"> субсидии на возмещение затрат, связанных с применением государственных регулируемых цен, для расчетов с РСО учтены в </w:t>
      </w:r>
      <w:r w:rsidR="003D5BA3">
        <w:rPr>
          <w:rFonts w:eastAsia="Calibri"/>
          <w:sz w:val="26"/>
          <w:szCs w:val="26"/>
        </w:rPr>
        <w:t>1/2</w:t>
      </w:r>
      <w:r w:rsidRPr="004D4F10">
        <w:rPr>
          <w:rFonts w:eastAsia="Calibri"/>
          <w:sz w:val="26"/>
          <w:szCs w:val="26"/>
        </w:rPr>
        <w:t xml:space="preserve"> от </w:t>
      </w:r>
      <w:r w:rsidR="003D5BA3">
        <w:rPr>
          <w:rFonts w:eastAsia="Calibri"/>
          <w:sz w:val="26"/>
          <w:szCs w:val="26"/>
        </w:rPr>
        <w:t>годовой потребности на 2020 год;</w:t>
      </w:r>
      <w:r w:rsidRPr="004D4F10">
        <w:rPr>
          <w:rFonts w:eastAsia="Calibri"/>
          <w:sz w:val="26"/>
          <w:szCs w:val="26"/>
        </w:rPr>
        <w:t xml:space="preserve"> расходы на питание в образовательных учреждениях, материальных резерв в целях ГО и ЧС, платежи по лизингу </w:t>
      </w:r>
      <w:r w:rsidR="003D5BA3">
        <w:rPr>
          <w:rFonts w:eastAsia="Calibri"/>
          <w:sz w:val="26"/>
          <w:szCs w:val="26"/>
        </w:rPr>
        <w:t>в</w:t>
      </w:r>
      <w:r w:rsidRPr="004D4F10">
        <w:rPr>
          <w:rFonts w:eastAsia="Calibri"/>
          <w:sz w:val="26"/>
          <w:szCs w:val="26"/>
        </w:rPr>
        <w:t xml:space="preserve"> 100% объеме от потребности. </w:t>
      </w:r>
    </w:p>
    <w:p w:rsidR="004D4F10" w:rsidRPr="004D4F10" w:rsidRDefault="004D4F10" w:rsidP="00A24E19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4D4F10">
        <w:rPr>
          <w:rFonts w:eastAsia="Calibri"/>
          <w:sz w:val="26"/>
          <w:szCs w:val="26"/>
        </w:rPr>
        <w:t xml:space="preserve">Приоритетные направления расходов учтены в 100% объеме от потребности без учета расходов на приобретение техники в лизинг. </w:t>
      </w:r>
    </w:p>
    <w:p w:rsidR="004D4F10" w:rsidRPr="004D4F10" w:rsidRDefault="004D4F10" w:rsidP="00A24E19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4D4F10">
        <w:rPr>
          <w:rFonts w:eastAsia="Calibri"/>
          <w:sz w:val="26"/>
          <w:szCs w:val="26"/>
        </w:rPr>
        <w:lastRenderedPageBreak/>
        <w:t>Из общей потребности расходов на мероприятия по подготовке к 300-летию Кузбасса в сумме 870 992 тыс. руб., в проекте бюджета учтены расходы в сумме 674 617 тыс. руб.</w:t>
      </w:r>
    </w:p>
    <w:p w:rsidR="004D4F10" w:rsidRPr="004D4F10" w:rsidRDefault="004D4F10" w:rsidP="00A24E19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4D4F10">
        <w:rPr>
          <w:rFonts w:eastAsia="Calibri"/>
          <w:sz w:val="26"/>
          <w:szCs w:val="26"/>
        </w:rPr>
        <w:t>Прочие расходы в проекте бюджета составляют 2</w:t>
      </w:r>
      <w:r w:rsidR="00C4709F">
        <w:rPr>
          <w:rFonts w:eastAsia="Calibri"/>
          <w:sz w:val="26"/>
          <w:szCs w:val="26"/>
        </w:rPr>
        <w:t>27</w:t>
      </w:r>
      <w:r w:rsidRPr="004D4F10">
        <w:rPr>
          <w:rFonts w:eastAsia="Calibri"/>
          <w:sz w:val="26"/>
          <w:szCs w:val="26"/>
        </w:rPr>
        <w:t> </w:t>
      </w:r>
      <w:r w:rsidR="00C4709F">
        <w:rPr>
          <w:rFonts w:eastAsia="Calibri"/>
          <w:sz w:val="26"/>
          <w:szCs w:val="26"/>
        </w:rPr>
        <w:t>271</w:t>
      </w:r>
      <w:r w:rsidRPr="004D4F10">
        <w:rPr>
          <w:rFonts w:eastAsia="Calibri"/>
          <w:sz w:val="26"/>
          <w:szCs w:val="26"/>
        </w:rPr>
        <w:t xml:space="preserve"> тыс. руб.</w:t>
      </w:r>
    </w:p>
    <w:p w:rsidR="004D4F10" w:rsidRPr="004D4F10" w:rsidRDefault="004D4F10" w:rsidP="00A24E19">
      <w:pPr>
        <w:spacing w:line="276" w:lineRule="auto"/>
        <w:ind w:firstLine="567"/>
        <w:jc w:val="both"/>
        <w:rPr>
          <w:sz w:val="26"/>
          <w:szCs w:val="26"/>
        </w:rPr>
      </w:pPr>
      <w:r w:rsidRPr="004D4F10">
        <w:rPr>
          <w:sz w:val="26"/>
          <w:szCs w:val="26"/>
        </w:rPr>
        <w:t>Бюджетные ассигнования на 2021-2022 годы определены следующим образом:</w:t>
      </w:r>
    </w:p>
    <w:p w:rsidR="004D4F10" w:rsidRPr="004D4F10" w:rsidRDefault="004D4F10" w:rsidP="00A24E19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4D4F10">
        <w:rPr>
          <w:sz w:val="26"/>
          <w:szCs w:val="26"/>
        </w:rPr>
        <w:t xml:space="preserve">в 2021 году </w:t>
      </w:r>
      <w:r w:rsidRPr="004D4F10">
        <w:rPr>
          <w:rFonts w:eastAsia="Calibri"/>
          <w:sz w:val="26"/>
          <w:szCs w:val="26"/>
        </w:rPr>
        <w:t xml:space="preserve">обязательные расходы учтены в 100% объеме от потребности на 2020 год, расходы на оплату коммунальных услуг учтены на 5 месяцев. </w:t>
      </w:r>
    </w:p>
    <w:p w:rsidR="004D4F10" w:rsidRPr="004D4F10" w:rsidRDefault="004D4F10" w:rsidP="00A24E19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4D4F10">
        <w:rPr>
          <w:sz w:val="26"/>
          <w:szCs w:val="26"/>
        </w:rPr>
        <w:t xml:space="preserve"> в 2022 году </w:t>
      </w:r>
      <w:r w:rsidRPr="004D4F10">
        <w:rPr>
          <w:rFonts w:eastAsia="Calibri"/>
          <w:sz w:val="26"/>
          <w:szCs w:val="26"/>
        </w:rPr>
        <w:t>обязательные расходы учтены в 100% объеме от потребности на 2020 год, расходы на оплату коммунальных услуг учтены на 3 месяца.</w:t>
      </w:r>
    </w:p>
    <w:p w:rsidR="004D4F10" w:rsidRPr="004D4F10" w:rsidRDefault="004D4F10" w:rsidP="00A24E19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4D4F10">
        <w:rPr>
          <w:rFonts w:eastAsia="Calibri"/>
          <w:sz w:val="26"/>
          <w:szCs w:val="26"/>
        </w:rPr>
        <w:t xml:space="preserve">Таким образом, расходы на выполнение </w:t>
      </w:r>
      <w:r w:rsidRPr="004D4F10">
        <w:rPr>
          <w:rFonts w:eastAsia="Calibri"/>
          <w:b/>
          <w:sz w:val="26"/>
          <w:szCs w:val="26"/>
        </w:rPr>
        <w:t>местных полномочий</w:t>
      </w:r>
      <w:r w:rsidRPr="004D4F10">
        <w:rPr>
          <w:rFonts w:eastAsia="Calibri"/>
          <w:sz w:val="26"/>
          <w:szCs w:val="26"/>
        </w:rPr>
        <w:t xml:space="preserve"> в 2020 году составят </w:t>
      </w:r>
      <w:r w:rsidRPr="004D4F10">
        <w:rPr>
          <w:rFonts w:eastAsia="Calibri"/>
          <w:b/>
          <w:sz w:val="26"/>
          <w:szCs w:val="26"/>
        </w:rPr>
        <w:t xml:space="preserve">10 302 701,1 </w:t>
      </w:r>
      <w:r w:rsidRPr="004D4F10">
        <w:rPr>
          <w:rFonts w:eastAsia="Calibri"/>
          <w:sz w:val="26"/>
          <w:szCs w:val="26"/>
        </w:rPr>
        <w:t xml:space="preserve">тыс. руб., в 2021 году – </w:t>
      </w:r>
      <w:r w:rsidRPr="004D4F10">
        <w:rPr>
          <w:rFonts w:eastAsia="Calibri"/>
          <w:b/>
          <w:sz w:val="26"/>
          <w:szCs w:val="26"/>
        </w:rPr>
        <w:t>8 047 380,8</w:t>
      </w:r>
      <w:r w:rsidRPr="004D4F10">
        <w:rPr>
          <w:rFonts w:eastAsia="Calibri"/>
          <w:sz w:val="26"/>
          <w:szCs w:val="26"/>
        </w:rPr>
        <w:t xml:space="preserve"> тыс. руб., в 2022 году – </w:t>
      </w:r>
      <w:r w:rsidRPr="004D4F10">
        <w:rPr>
          <w:rFonts w:eastAsia="Calibri"/>
          <w:b/>
          <w:sz w:val="26"/>
          <w:szCs w:val="26"/>
        </w:rPr>
        <w:t>7 766 772,8</w:t>
      </w:r>
      <w:r w:rsidRPr="004D4F10">
        <w:rPr>
          <w:rFonts w:eastAsia="Calibri"/>
          <w:sz w:val="26"/>
          <w:szCs w:val="26"/>
        </w:rPr>
        <w:t xml:space="preserve"> тыс. руб.</w:t>
      </w:r>
    </w:p>
    <w:p w:rsidR="004D4F10" w:rsidRPr="004D4F10" w:rsidRDefault="004D4F10" w:rsidP="00A24E19">
      <w:pPr>
        <w:spacing w:line="276" w:lineRule="auto"/>
        <w:ind w:firstLine="567"/>
        <w:jc w:val="both"/>
        <w:rPr>
          <w:sz w:val="26"/>
          <w:szCs w:val="26"/>
        </w:rPr>
      </w:pPr>
      <w:r w:rsidRPr="004D4F10">
        <w:rPr>
          <w:sz w:val="26"/>
          <w:szCs w:val="26"/>
        </w:rPr>
        <w:t xml:space="preserve">Межбюджетные трансферты включены в расходную часть проекта бюджета Новокузнецкого городского округа на 2020 год в соответствии с проектом Закона Кемеровской области </w:t>
      </w:r>
      <w:r w:rsidR="008B6F27">
        <w:rPr>
          <w:sz w:val="26"/>
          <w:szCs w:val="26"/>
        </w:rPr>
        <w:t xml:space="preserve">– Кузбасса </w:t>
      </w:r>
      <w:r w:rsidRPr="004D4F10">
        <w:rPr>
          <w:sz w:val="26"/>
          <w:szCs w:val="26"/>
        </w:rPr>
        <w:t xml:space="preserve">«Об областном бюджете на 2020 и на плановый период 2021 и 2022 годов». Расходы за счет переданных полномочий в 2020 году составят </w:t>
      </w:r>
      <w:r w:rsidRPr="004D4F10">
        <w:rPr>
          <w:b/>
          <w:sz w:val="26"/>
          <w:szCs w:val="26"/>
        </w:rPr>
        <w:t>8 807 704,5</w:t>
      </w:r>
      <w:r w:rsidRPr="004D4F10">
        <w:rPr>
          <w:sz w:val="26"/>
          <w:szCs w:val="26"/>
        </w:rPr>
        <w:t xml:space="preserve"> тыс. руб., в 2021 году – </w:t>
      </w:r>
      <w:r w:rsidRPr="004D4F10">
        <w:rPr>
          <w:b/>
          <w:sz w:val="26"/>
          <w:szCs w:val="26"/>
        </w:rPr>
        <w:t>9 001 812,2</w:t>
      </w:r>
      <w:r w:rsidRPr="004D4F10">
        <w:rPr>
          <w:sz w:val="26"/>
          <w:szCs w:val="26"/>
        </w:rPr>
        <w:t xml:space="preserve"> тыс. руб., в 2022 году – </w:t>
      </w:r>
      <w:r w:rsidRPr="004D4F10">
        <w:rPr>
          <w:b/>
          <w:sz w:val="26"/>
          <w:szCs w:val="26"/>
        </w:rPr>
        <w:t>7 943 387,7</w:t>
      </w:r>
      <w:r w:rsidRPr="004D4F10">
        <w:rPr>
          <w:sz w:val="26"/>
          <w:szCs w:val="26"/>
        </w:rPr>
        <w:t xml:space="preserve"> тыс. руб. </w:t>
      </w:r>
    </w:p>
    <w:p w:rsidR="004D4F10" w:rsidRPr="004D4F10" w:rsidRDefault="004D4F10" w:rsidP="00A24E19">
      <w:pPr>
        <w:spacing w:line="276" w:lineRule="auto"/>
        <w:ind w:firstLine="567"/>
        <w:jc w:val="both"/>
        <w:rPr>
          <w:sz w:val="26"/>
          <w:szCs w:val="26"/>
        </w:rPr>
      </w:pPr>
      <w:r w:rsidRPr="004D4F10">
        <w:rPr>
          <w:sz w:val="26"/>
          <w:szCs w:val="26"/>
        </w:rPr>
        <w:t xml:space="preserve">Бюджет Новокузнецкого городского округа по расходам на </w:t>
      </w:r>
      <w:r w:rsidRPr="004D4F10">
        <w:rPr>
          <w:b/>
          <w:sz w:val="26"/>
          <w:szCs w:val="26"/>
        </w:rPr>
        <w:t>2020 год</w:t>
      </w:r>
      <w:r w:rsidRPr="004D4F10">
        <w:rPr>
          <w:sz w:val="26"/>
          <w:szCs w:val="26"/>
        </w:rPr>
        <w:t xml:space="preserve"> составит </w:t>
      </w:r>
      <w:r w:rsidRPr="004D4F10">
        <w:rPr>
          <w:b/>
          <w:sz w:val="26"/>
          <w:szCs w:val="26"/>
        </w:rPr>
        <w:t>19 110 405,6</w:t>
      </w:r>
      <w:r w:rsidRPr="004D4F10">
        <w:rPr>
          <w:sz w:val="26"/>
          <w:szCs w:val="26"/>
        </w:rPr>
        <w:t xml:space="preserve"> тыс. руб., на </w:t>
      </w:r>
      <w:r w:rsidRPr="004D4F10">
        <w:rPr>
          <w:b/>
          <w:sz w:val="26"/>
          <w:szCs w:val="26"/>
        </w:rPr>
        <w:t>2021-2022</w:t>
      </w:r>
      <w:r w:rsidRPr="004D4F10">
        <w:rPr>
          <w:sz w:val="26"/>
          <w:szCs w:val="26"/>
        </w:rPr>
        <w:t xml:space="preserve"> годы </w:t>
      </w:r>
      <w:r w:rsidRPr="004D4F10">
        <w:rPr>
          <w:b/>
          <w:sz w:val="26"/>
          <w:szCs w:val="26"/>
        </w:rPr>
        <w:t>17 049 193,0</w:t>
      </w:r>
      <w:r w:rsidRPr="004D4F10">
        <w:rPr>
          <w:sz w:val="26"/>
          <w:szCs w:val="26"/>
        </w:rPr>
        <w:t xml:space="preserve"> тыс. руб. и </w:t>
      </w:r>
      <w:r w:rsidRPr="004D4F10">
        <w:rPr>
          <w:b/>
          <w:sz w:val="26"/>
          <w:szCs w:val="26"/>
        </w:rPr>
        <w:t>15 710 160,5</w:t>
      </w:r>
      <w:r w:rsidRPr="004D4F10">
        <w:rPr>
          <w:sz w:val="26"/>
          <w:szCs w:val="26"/>
        </w:rPr>
        <w:t xml:space="preserve"> тыс. руб. соответственно.</w:t>
      </w:r>
    </w:p>
    <w:p w:rsidR="004D4F10" w:rsidRPr="004D4F10" w:rsidRDefault="004D4F10" w:rsidP="00A24E19">
      <w:pPr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4D4F10">
        <w:rPr>
          <w:color w:val="000000"/>
          <w:sz w:val="26"/>
          <w:szCs w:val="26"/>
        </w:rPr>
        <w:t>В общей сумме расходов проекта бюджета города предусмотрены условно утвержденные расходы, в том числе на 2021 год в сумме 201 185 тыс. рублей, на 2022 год – в сумме 388 339 тыс. рублей.</w:t>
      </w:r>
    </w:p>
    <w:p w:rsidR="00A95D76" w:rsidRDefault="00A95D76" w:rsidP="004D4F10">
      <w:pPr>
        <w:pStyle w:val="a8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</w:p>
    <w:p w:rsidR="00A95D76" w:rsidRDefault="00A95D76" w:rsidP="00A95D76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ИСТОЧНИКИ ФИНАНСИРОВАНИЯ ДЕФИЦИТА БЮДЖЕТА</w:t>
      </w:r>
    </w:p>
    <w:p w:rsidR="00A95D76" w:rsidRPr="008B6F27" w:rsidRDefault="00A95D76" w:rsidP="008B6F27">
      <w:pPr>
        <w:spacing w:line="276" w:lineRule="auto"/>
        <w:ind w:firstLine="567"/>
        <w:jc w:val="both"/>
        <w:rPr>
          <w:sz w:val="26"/>
          <w:szCs w:val="26"/>
        </w:rPr>
      </w:pPr>
      <w:r w:rsidRPr="008B6F27">
        <w:rPr>
          <w:sz w:val="26"/>
          <w:szCs w:val="26"/>
        </w:rPr>
        <w:t>Сумма источников финансирования дефицита бюджета Новокузнецкого городского округа составит:</w:t>
      </w:r>
    </w:p>
    <w:p w:rsidR="00A95D76" w:rsidRPr="008B6F27" w:rsidRDefault="00A95D76" w:rsidP="008B6F27">
      <w:pPr>
        <w:spacing w:line="276" w:lineRule="auto"/>
        <w:ind w:firstLine="567"/>
        <w:jc w:val="both"/>
        <w:rPr>
          <w:sz w:val="26"/>
          <w:szCs w:val="26"/>
        </w:rPr>
      </w:pPr>
      <w:r w:rsidRPr="008B6F27">
        <w:rPr>
          <w:sz w:val="26"/>
          <w:szCs w:val="26"/>
        </w:rPr>
        <w:t>на 20</w:t>
      </w:r>
      <w:r w:rsidR="006E5084" w:rsidRPr="008B6F27">
        <w:rPr>
          <w:sz w:val="26"/>
          <w:szCs w:val="26"/>
        </w:rPr>
        <w:t>20</w:t>
      </w:r>
      <w:r w:rsidRPr="008B6F27">
        <w:rPr>
          <w:sz w:val="26"/>
          <w:szCs w:val="26"/>
        </w:rPr>
        <w:t xml:space="preserve"> год – </w:t>
      </w:r>
      <w:r w:rsidR="006E5084" w:rsidRPr="008B6F27">
        <w:rPr>
          <w:sz w:val="26"/>
          <w:szCs w:val="26"/>
        </w:rPr>
        <w:t>209 457,0</w:t>
      </w:r>
      <w:r w:rsidRPr="008B6F27">
        <w:rPr>
          <w:sz w:val="26"/>
          <w:szCs w:val="26"/>
        </w:rPr>
        <w:t xml:space="preserve"> тыс. руб., из них на погашение бюджетны</w:t>
      </w:r>
      <w:r w:rsidR="006E5084" w:rsidRPr="008B6F27">
        <w:rPr>
          <w:sz w:val="26"/>
          <w:szCs w:val="26"/>
        </w:rPr>
        <w:t>х кредитов предусмотрено 136 336,2</w:t>
      </w:r>
      <w:r w:rsidRPr="008B6F27">
        <w:rPr>
          <w:sz w:val="26"/>
          <w:szCs w:val="26"/>
        </w:rPr>
        <w:t xml:space="preserve"> тыс. руб., на погашение кредитов, предоставленных ранее кредитными организациями, предусмотрено 800</w:t>
      </w:r>
      <w:r w:rsidR="006E5084" w:rsidRPr="008B6F27">
        <w:rPr>
          <w:sz w:val="26"/>
          <w:szCs w:val="26"/>
        </w:rPr>
        <w:t> </w:t>
      </w:r>
      <w:r w:rsidRPr="008B6F27">
        <w:rPr>
          <w:sz w:val="26"/>
          <w:szCs w:val="26"/>
        </w:rPr>
        <w:t>000</w:t>
      </w:r>
      <w:r w:rsidR="006E5084" w:rsidRPr="008B6F27">
        <w:rPr>
          <w:sz w:val="26"/>
          <w:szCs w:val="26"/>
        </w:rPr>
        <w:t>,0</w:t>
      </w:r>
      <w:r w:rsidRPr="008B6F27">
        <w:rPr>
          <w:sz w:val="26"/>
          <w:szCs w:val="26"/>
        </w:rPr>
        <w:t xml:space="preserve"> тыс. руб</w:t>
      </w:r>
      <w:r w:rsidR="006E5084" w:rsidRPr="008B6F27">
        <w:rPr>
          <w:sz w:val="26"/>
          <w:szCs w:val="26"/>
        </w:rPr>
        <w:t>.</w:t>
      </w:r>
      <w:r w:rsidRPr="008B6F27">
        <w:rPr>
          <w:sz w:val="26"/>
          <w:szCs w:val="26"/>
        </w:rPr>
        <w:t xml:space="preserve">, получение кредитов от кредитных организаций, предусматривается в размере </w:t>
      </w:r>
      <w:r w:rsidR="006E5084" w:rsidRPr="008B6F27">
        <w:rPr>
          <w:sz w:val="26"/>
          <w:szCs w:val="26"/>
        </w:rPr>
        <w:t>1 145 793,2</w:t>
      </w:r>
      <w:r w:rsidRPr="008B6F27">
        <w:rPr>
          <w:sz w:val="26"/>
          <w:szCs w:val="26"/>
        </w:rPr>
        <w:t xml:space="preserve"> тыс. руб</w:t>
      </w:r>
      <w:r w:rsidR="006E5084" w:rsidRPr="008B6F27">
        <w:rPr>
          <w:sz w:val="26"/>
          <w:szCs w:val="26"/>
        </w:rPr>
        <w:t>.</w:t>
      </w:r>
      <w:r w:rsidRPr="008B6F27">
        <w:rPr>
          <w:sz w:val="26"/>
          <w:szCs w:val="26"/>
        </w:rPr>
        <w:t>;</w:t>
      </w:r>
    </w:p>
    <w:p w:rsidR="00A95D76" w:rsidRPr="008B6F27" w:rsidRDefault="006E5084" w:rsidP="008B6F27">
      <w:pPr>
        <w:spacing w:line="276" w:lineRule="auto"/>
        <w:ind w:firstLine="567"/>
        <w:jc w:val="both"/>
        <w:rPr>
          <w:sz w:val="26"/>
          <w:szCs w:val="26"/>
        </w:rPr>
      </w:pPr>
      <w:r w:rsidRPr="008B6F27">
        <w:rPr>
          <w:sz w:val="26"/>
          <w:szCs w:val="26"/>
        </w:rPr>
        <w:t>на 2021</w:t>
      </w:r>
      <w:r w:rsidR="00A95D76" w:rsidRPr="008B6F27">
        <w:rPr>
          <w:sz w:val="26"/>
          <w:szCs w:val="26"/>
        </w:rPr>
        <w:t xml:space="preserve"> год – </w:t>
      </w:r>
      <w:r w:rsidRPr="008B6F27">
        <w:rPr>
          <w:sz w:val="26"/>
          <w:szCs w:val="26"/>
        </w:rPr>
        <w:t>261 446,0</w:t>
      </w:r>
      <w:r w:rsidR="00A95D76" w:rsidRPr="008B6F27">
        <w:rPr>
          <w:sz w:val="26"/>
          <w:szCs w:val="26"/>
        </w:rPr>
        <w:t xml:space="preserve"> тыс. руб.</w:t>
      </w:r>
      <w:r w:rsidRPr="008B6F27">
        <w:rPr>
          <w:sz w:val="26"/>
          <w:szCs w:val="26"/>
        </w:rPr>
        <w:t>,</w:t>
      </w:r>
      <w:r w:rsidR="00A95D76" w:rsidRPr="008B6F27">
        <w:rPr>
          <w:sz w:val="26"/>
          <w:szCs w:val="26"/>
        </w:rPr>
        <w:t xml:space="preserve"> из </w:t>
      </w:r>
      <w:r w:rsidRPr="008B6F27">
        <w:rPr>
          <w:sz w:val="26"/>
          <w:szCs w:val="26"/>
        </w:rPr>
        <w:t xml:space="preserve">них на погашение бюджетных кредитов предусмотрено 136 336,2 тыс. руб., </w:t>
      </w:r>
      <w:r w:rsidR="00A95D76" w:rsidRPr="008B6F27">
        <w:rPr>
          <w:sz w:val="26"/>
          <w:szCs w:val="26"/>
        </w:rPr>
        <w:t xml:space="preserve">на погашение  кредитов, предоставленных ранее кредитными организациями, предусмотрено </w:t>
      </w:r>
      <w:r w:rsidRPr="008B6F27">
        <w:rPr>
          <w:sz w:val="26"/>
          <w:szCs w:val="26"/>
        </w:rPr>
        <w:t>1 608 123,1</w:t>
      </w:r>
      <w:r w:rsidR="00A95D76" w:rsidRPr="008B6F27">
        <w:rPr>
          <w:sz w:val="26"/>
          <w:szCs w:val="26"/>
        </w:rPr>
        <w:t xml:space="preserve"> тыс. руб</w:t>
      </w:r>
      <w:r w:rsidRPr="008B6F27">
        <w:rPr>
          <w:sz w:val="26"/>
          <w:szCs w:val="26"/>
        </w:rPr>
        <w:t>.</w:t>
      </w:r>
      <w:r w:rsidR="00A95D76" w:rsidRPr="008B6F27">
        <w:rPr>
          <w:sz w:val="26"/>
          <w:szCs w:val="26"/>
        </w:rPr>
        <w:t xml:space="preserve">, получение кредитов от кредитных организаций, предусматривается в размере </w:t>
      </w:r>
      <w:r w:rsidRPr="008B6F27">
        <w:rPr>
          <w:sz w:val="26"/>
          <w:szCs w:val="26"/>
        </w:rPr>
        <w:t>2 005 905,3</w:t>
      </w:r>
      <w:r w:rsidR="00A95D76" w:rsidRPr="008B6F27">
        <w:rPr>
          <w:sz w:val="26"/>
          <w:szCs w:val="26"/>
        </w:rPr>
        <w:t xml:space="preserve"> тыс. руб</w:t>
      </w:r>
      <w:r w:rsidRPr="008B6F27">
        <w:rPr>
          <w:sz w:val="26"/>
          <w:szCs w:val="26"/>
        </w:rPr>
        <w:t>.</w:t>
      </w:r>
      <w:r w:rsidR="00A95D76" w:rsidRPr="008B6F27">
        <w:rPr>
          <w:sz w:val="26"/>
          <w:szCs w:val="26"/>
        </w:rPr>
        <w:t>;</w:t>
      </w:r>
    </w:p>
    <w:p w:rsidR="00A95D76" w:rsidRPr="008B6F27" w:rsidRDefault="006E5084" w:rsidP="008B6F27">
      <w:pPr>
        <w:spacing w:line="276" w:lineRule="auto"/>
        <w:ind w:firstLine="567"/>
        <w:jc w:val="both"/>
        <w:rPr>
          <w:sz w:val="26"/>
          <w:szCs w:val="26"/>
        </w:rPr>
      </w:pPr>
      <w:r w:rsidRPr="008B6F27">
        <w:rPr>
          <w:sz w:val="26"/>
          <w:szCs w:val="26"/>
        </w:rPr>
        <w:t>на 2022</w:t>
      </w:r>
      <w:r w:rsidR="00A95D76" w:rsidRPr="008B6F27">
        <w:rPr>
          <w:sz w:val="26"/>
          <w:szCs w:val="26"/>
        </w:rPr>
        <w:t xml:space="preserve"> год – </w:t>
      </w:r>
      <w:r w:rsidRPr="008B6F27">
        <w:rPr>
          <w:sz w:val="26"/>
          <w:szCs w:val="26"/>
        </w:rPr>
        <w:t>251 513,0</w:t>
      </w:r>
      <w:r w:rsidR="00A95D76" w:rsidRPr="008B6F27">
        <w:rPr>
          <w:sz w:val="26"/>
          <w:szCs w:val="26"/>
        </w:rPr>
        <w:t xml:space="preserve"> тыс. руб.</w:t>
      </w:r>
      <w:r w:rsidRPr="008B6F27">
        <w:rPr>
          <w:sz w:val="26"/>
          <w:szCs w:val="26"/>
        </w:rPr>
        <w:t>,</w:t>
      </w:r>
      <w:r w:rsidR="00A95D76" w:rsidRPr="008B6F27">
        <w:rPr>
          <w:sz w:val="26"/>
          <w:szCs w:val="26"/>
        </w:rPr>
        <w:t xml:space="preserve"> </w:t>
      </w:r>
      <w:r w:rsidRPr="008B6F27">
        <w:rPr>
          <w:sz w:val="26"/>
          <w:szCs w:val="26"/>
        </w:rPr>
        <w:t>из них на погашение бюджетных кредитов предусмотрено 905 120,5 тыс. руб., на погашение кредитов кр</w:t>
      </w:r>
      <w:r w:rsidR="00A71FA4" w:rsidRPr="008B6F27">
        <w:rPr>
          <w:sz w:val="26"/>
          <w:szCs w:val="26"/>
        </w:rPr>
        <w:t xml:space="preserve">едитных организаций, предусматривается 800 000 тыс. </w:t>
      </w:r>
      <w:r w:rsidRPr="008B6F27">
        <w:rPr>
          <w:sz w:val="26"/>
          <w:szCs w:val="26"/>
        </w:rPr>
        <w:t>руб.</w:t>
      </w:r>
      <w:r w:rsidR="00A95D76" w:rsidRPr="008B6F27">
        <w:rPr>
          <w:sz w:val="26"/>
          <w:szCs w:val="26"/>
        </w:rPr>
        <w:t xml:space="preserve">, получение кредитов от кредитных организаций, предусматривается в размере </w:t>
      </w:r>
      <w:r w:rsidR="00A71FA4" w:rsidRPr="008B6F27">
        <w:rPr>
          <w:sz w:val="26"/>
          <w:szCs w:val="26"/>
        </w:rPr>
        <w:t>1 956 633,5</w:t>
      </w:r>
      <w:r w:rsidR="00A95D76" w:rsidRPr="008B6F27">
        <w:rPr>
          <w:sz w:val="26"/>
          <w:szCs w:val="26"/>
        </w:rPr>
        <w:t xml:space="preserve"> тыс. руб.</w:t>
      </w:r>
    </w:p>
    <w:p w:rsidR="00140CB7" w:rsidRDefault="00140CB7" w:rsidP="00A95D76">
      <w:pPr>
        <w:jc w:val="both"/>
        <w:rPr>
          <w:sz w:val="26"/>
          <w:szCs w:val="26"/>
        </w:rPr>
      </w:pPr>
    </w:p>
    <w:p w:rsidR="00A95D76" w:rsidRPr="00A95D76" w:rsidRDefault="00A95D76" w:rsidP="00A95D76">
      <w:pPr>
        <w:jc w:val="both"/>
        <w:rPr>
          <w:sz w:val="26"/>
          <w:szCs w:val="26"/>
        </w:rPr>
      </w:pPr>
      <w:r w:rsidRPr="00A95D76">
        <w:rPr>
          <w:sz w:val="26"/>
          <w:szCs w:val="26"/>
        </w:rPr>
        <w:t xml:space="preserve">Начальник </w:t>
      </w:r>
      <w:proofErr w:type="gramStart"/>
      <w:r w:rsidRPr="00A95D76">
        <w:rPr>
          <w:sz w:val="26"/>
          <w:szCs w:val="26"/>
        </w:rPr>
        <w:t>финансового</w:t>
      </w:r>
      <w:proofErr w:type="gramEnd"/>
    </w:p>
    <w:p w:rsidR="00A95D76" w:rsidRPr="00A95D76" w:rsidRDefault="00A95D76" w:rsidP="00A95D76">
      <w:pPr>
        <w:jc w:val="both"/>
        <w:rPr>
          <w:sz w:val="26"/>
          <w:szCs w:val="26"/>
        </w:rPr>
      </w:pPr>
      <w:r w:rsidRPr="00A95D76">
        <w:rPr>
          <w:sz w:val="26"/>
          <w:szCs w:val="26"/>
        </w:rPr>
        <w:t>управления города Новокузнецка</w:t>
      </w:r>
      <w:r w:rsidRPr="00A95D76">
        <w:rPr>
          <w:sz w:val="26"/>
          <w:szCs w:val="26"/>
        </w:rPr>
        <w:tab/>
      </w:r>
      <w:r w:rsidRPr="00A95D76">
        <w:rPr>
          <w:sz w:val="26"/>
          <w:szCs w:val="26"/>
        </w:rPr>
        <w:tab/>
      </w:r>
      <w:r w:rsidRPr="00A95D76">
        <w:rPr>
          <w:sz w:val="26"/>
          <w:szCs w:val="26"/>
        </w:rPr>
        <w:tab/>
        <w:t xml:space="preserve">                                  О.А. Алешкова</w:t>
      </w:r>
    </w:p>
    <w:p w:rsidR="00A95D76" w:rsidRPr="001A38A9" w:rsidRDefault="00A95D76" w:rsidP="00A95D76">
      <w:pPr>
        <w:jc w:val="both"/>
      </w:pPr>
    </w:p>
    <w:p w:rsidR="00A95D76" w:rsidRDefault="00A95D76" w:rsidP="00CF052A"/>
    <w:sectPr w:rsidR="00A95D76" w:rsidSect="00D852EB">
      <w:footerReference w:type="default" r:id="rId13"/>
      <w:pgSz w:w="11906" w:h="16838"/>
      <w:pgMar w:top="851" w:right="1133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2EB" w:rsidRDefault="00D852EB" w:rsidP="000118ED">
      <w:r>
        <w:separator/>
      </w:r>
    </w:p>
  </w:endnote>
  <w:endnote w:type="continuationSeparator" w:id="0">
    <w:p w:rsidR="00D852EB" w:rsidRDefault="00D852EB" w:rsidP="00011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42393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D852EB" w:rsidRPr="00F06D2F" w:rsidRDefault="003C60E0">
        <w:pPr>
          <w:pStyle w:val="a6"/>
          <w:jc w:val="right"/>
          <w:rPr>
            <w:sz w:val="16"/>
          </w:rPr>
        </w:pPr>
        <w:r w:rsidRPr="00F06D2F">
          <w:rPr>
            <w:sz w:val="16"/>
          </w:rPr>
          <w:fldChar w:fldCharType="begin"/>
        </w:r>
        <w:r w:rsidR="00D852EB" w:rsidRPr="00F06D2F">
          <w:rPr>
            <w:sz w:val="16"/>
          </w:rPr>
          <w:instrText xml:space="preserve"> PAGE   \* MERGEFORMAT </w:instrText>
        </w:r>
        <w:r w:rsidRPr="00F06D2F">
          <w:rPr>
            <w:sz w:val="16"/>
          </w:rPr>
          <w:fldChar w:fldCharType="separate"/>
        </w:r>
        <w:r w:rsidR="00C4709F">
          <w:rPr>
            <w:noProof/>
            <w:sz w:val="16"/>
          </w:rPr>
          <w:t>20</w:t>
        </w:r>
        <w:r w:rsidRPr="00F06D2F">
          <w:rPr>
            <w:sz w:val="16"/>
          </w:rPr>
          <w:fldChar w:fldCharType="end"/>
        </w:r>
      </w:p>
    </w:sdtContent>
  </w:sdt>
  <w:p w:rsidR="00D852EB" w:rsidRDefault="00D852E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2EB" w:rsidRDefault="00D852EB" w:rsidP="000118ED">
      <w:r>
        <w:separator/>
      </w:r>
    </w:p>
  </w:footnote>
  <w:footnote w:type="continuationSeparator" w:id="0">
    <w:p w:rsidR="00D852EB" w:rsidRDefault="00D852EB" w:rsidP="000118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1E62"/>
    <w:multiLevelType w:val="hybridMultilevel"/>
    <w:tmpl w:val="B0EA6E60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CC817FD"/>
    <w:multiLevelType w:val="hybridMultilevel"/>
    <w:tmpl w:val="192E6A98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E54638"/>
    <w:multiLevelType w:val="hybridMultilevel"/>
    <w:tmpl w:val="4662B0E8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3937B6"/>
    <w:multiLevelType w:val="hybridMultilevel"/>
    <w:tmpl w:val="EB3E501A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37C20C7"/>
    <w:multiLevelType w:val="hybridMultilevel"/>
    <w:tmpl w:val="666814CE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BB13DA"/>
    <w:multiLevelType w:val="hybridMultilevel"/>
    <w:tmpl w:val="97843C1E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98142B"/>
    <w:multiLevelType w:val="hybridMultilevel"/>
    <w:tmpl w:val="F04AE2BA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5E16272"/>
    <w:multiLevelType w:val="hybridMultilevel"/>
    <w:tmpl w:val="0A944776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AD262BE"/>
    <w:multiLevelType w:val="hybridMultilevel"/>
    <w:tmpl w:val="C354E8CC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00570CE"/>
    <w:multiLevelType w:val="hybridMultilevel"/>
    <w:tmpl w:val="A86E0DD4"/>
    <w:lvl w:ilvl="0" w:tplc="C7826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3DA74C8"/>
    <w:multiLevelType w:val="hybridMultilevel"/>
    <w:tmpl w:val="FE3E2E48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D864E14"/>
    <w:multiLevelType w:val="hybridMultilevel"/>
    <w:tmpl w:val="12409AE4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C4D2E05"/>
    <w:multiLevelType w:val="hybridMultilevel"/>
    <w:tmpl w:val="3E7A5CE0"/>
    <w:lvl w:ilvl="0" w:tplc="C78264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C974F3E"/>
    <w:multiLevelType w:val="hybridMultilevel"/>
    <w:tmpl w:val="9914FDE6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74B6969"/>
    <w:multiLevelType w:val="hybridMultilevel"/>
    <w:tmpl w:val="6D90C858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A3833F9"/>
    <w:multiLevelType w:val="hybridMultilevel"/>
    <w:tmpl w:val="4C4C7714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3"/>
  </w:num>
  <w:num w:numId="5">
    <w:abstractNumId w:val="14"/>
  </w:num>
  <w:num w:numId="6">
    <w:abstractNumId w:val="2"/>
  </w:num>
  <w:num w:numId="7">
    <w:abstractNumId w:val="0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7"/>
  </w:num>
  <w:num w:numId="13">
    <w:abstractNumId w:val="15"/>
  </w:num>
  <w:num w:numId="14">
    <w:abstractNumId w:val="13"/>
  </w:num>
  <w:num w:numId="15">
    <w:abstractNumId w:val="11"/>
  </w:num>
  <w:num w:numId="16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025E"/>
    <w:rsid w:val="00001566"/>
    <w:rsid w:val="00002306"/>
    <w:rsid w:val="0000462C"/>
    <w:rsid w:val="00004D01"/>
    <w:rsid w:val="000059DB"/>
    <w:rsid w:val="000064C1"/>
    <w:rsid w:val="00006DF9"/>
    <w:rsid w:val="00007310"/>
    <w:rsid w:val="000105EE"/>
    <w:rsid w:val="00011161"/>
    <w:rsid w:val="000118ED"/>
    <w:rsid w:val="00013819"/>
    <w:rsid w:val="00014507"/>
    <w:rsid w:val="00014794"/>
    <w:rsid w:val="00015206"/>
    <w:rsid w:val="0001574E"/>
    <w:rsid w:val="00017829"/>
    <w:rsid w:val="00020622"/>
    <w:rsid w:val="00020D93"/>
    <w:rsid w:val="00020EAF"/>
    <w:rsid w:val="00022A16"/>
    <w:rsid w:val="00022CFB"/>
    <w:rsid w:val="00022FC5"/>
    <w:rsid w:val="000249CA"/>
    <w:rsid w:val="00024C38"/>
    <w:rsid w:val="0002555B"/>
    <w:rsid w:val="00026F27"/>
    <w:rsid w:val="0002707B"/>
    <w:rsid w:val="00032461"/>
    <w:rsid w:val="000349AD"/>
    <w:rsid w:val="00036285"/>
    <w:rsid w:val="00037070"/>
    <w:rsid w:val="00040AAE"/>
    <w:rsid w:val="00040EE8"/>
    <w:rsid w:val="00041132"/>
    <w:rsid w:val="00041305"/>
    <w:rsid w:val="00041870"/>
    <w:rsid w:val="00041B38"/>
    <w:rsid w:val="0004219F"/>
    <w:rsid w:val="00042EE5"/>
    <w:rsid w:val="000444FC"/>
    <w:rsid w:val="00044632"/>
    <w:rsid w:val="00044E6C"/>
    <w:rsid w:val="000453E0"/>
    <w:rsid w:val="00045E22"/>
    <w:rsid w:val="0004611E"/>
    <w:rsid w:val="000473D4"/>
    <w:rsid w:val="00051123"/>
    <w:rsid w:val="00051BB7"/>
    <w:rsid w:val="00053BE4"/>
    <w:rsid w:val="00054055"/>
    <w:rsid w:val="000579CC"/>
    <w:rsid w:val="00057A36"/>
    <w:rsid w:val="00060032"/>
    <w:rsid w:val="0006028B"/>
    <w:rsid w:val="00060B36"/>
    <w:rsid w:val="000622D8"/>
    <w:rsid w:val="00064275"/>
    <w:rsid w:val="00065941"/>
    <w:rsid w:val="00067147"/>
    <w:rsid w:val="00067865"/>
    <w:rsid w:val="000712AB"/>
    <w:rsid w:val="000716D3"/>
    <w:rsid w:val="00072365"/>
    <w:rsid w:val="00074321"/>
    <w:rsid w:val="00075995"/>
    <w:rsid w:val="00075F90"/>
    <w:rsid w:val="000765F9"/>
    <w:rsid w:val="000767F7"/>
    <w:rsid w:val="00077EF6"/>
    <w:rsid w:val="000809E3"/>
    <w:rsid w:val="000814C1"/>
    <w:rsid w:val="00081BDA"/>
    <w:rsid w:val="00083285"/>
    <w:rsid w:val="000835B4"/>
    <w:rsid w:val="000863B4"/>
    <w:rsid w:val="00090BFF"/>
    <w:rsid w:val="00092C9E"/>
    <w:rsid w:val="00093F35"/>
    <w:rsid w:val="00093F40"/>
    <w:rsid w:val="00096B79"/>
    <w:rsid w:val="00096CA9"/>
    <w:rsid w:val="00096FAB"/>
    <w:rsid w:val="000A083E"/>
    <w:rsid w:val="000A1075"/>
    <w:rsid w:val="000A13B0"/>
    <w:rsid w:val="000A1A01"/>
    <w:rsid w:val="000A2A02"/>
    <w:rsid w:val="000A2FDE"/>
    <w:rsid w:val="000A3DE5"/>
    <w:rsid w:val="000A4547"/>
    <w:rsid w:val="000A5620"/>
    <w:rsid w:val="000A6C06"/>
    <w:rsid w:val="000A6EF0"/>
    <w:rsid w:val="000A78AD"/>
    <w:rsid w:val="000A7AA2"/>
    <w:rsid w:val="000B0800"/>
    <w:rsid w:val="000B10BF"/>
    <w:rsid w:val="000B1B30"/>
    <w:rsid w:val="000B21A9"/>
    <w:rsid w:val="000B34BA"/>
    <w:rsid w:val="000B4FBB"/>
    <w:rsid w:val="000B51FB"/>
    <w:rsid w:val="000B6DCE"/>
    <w:rsid w:val="000B6DF4"/>
    <w:rsid w:val="000B7DF4"/>
    <w:rsid w:val="000C0CB0"/>
    <w:rsid w:val="000C0D07"/>
    <w:rsid w:val="000C4334"/>
    <w:rsid w:val="000C45A1"/>
    <w:rsid w:val="000C469A"/>
    <w:rsid w:val="000C6C2B"/>
    <w:rsid w:val="000C7DCC"/>
    <w:rsid w:val="000D0E9D"/>
    <w:rsid w:val="000D1458"/>
    <w:rsid w:val="000D25CD"/>
    <w:rsid w:val="000D2790"/>
    <w:rsid w:val="000D3F1A"/>
    <w:rsid w:val="000D4E02"/>
    <w:rsid w:val="000D5587"/>
    <w:rsid w:val="000D6974"/>
    <w:rsid w:val="000D6F6C"/>
    <w:rsid w:val="000D7825"/>
    <w:rsid w:val="000D7A08"/>
    <w:rsid w:val="000D7DA0"/>
    <w:rsid w:val="000E0FEF"/>
    <w:rsid w:val="000E1070"/>
    <w:rsid w:val="000E1263"/>
    <w:rsid w:val="000E3535"/>
    <w:rsid w:val="000E443E"/>
    <w:rsid w:val="000E561A"/>
    <w:rsid w:val="000F232A"/>
    <w:rsid w:val="000F2369"/>
    <w:rsid w:val="000F26AE"/>
    <w:rsid w:val="000F2B29"/>
    <w:rsid w:val="000F2C26"/>
    <w:rsid w:val="000F32D6"/>
    <w:rsid w:val="000F388B"/>
    <w:rsid w:val="000F51F2"/>
    <w:rsid w:val="0010025E"/>
    <w:rsid w:val="00101582"/>
    <w:rsid w:val="00101A44"/>
    <w:rsid w:val="001024A2"/>
    <w:rsid w:val="001027E3"/>
    <w:rsid w:val="001029D2"/>
    <w:rsid w:val="0010352F"/>
    <w:rsid w:val="00103D30"/>
    <w:rsid w:val="00104796"/>
    <w:rsid w:val="0010668E"/>
    <w:rsid w:val="00106CB0"/>
    <w:rsid w:val="0011008B"/>
    <w:rsid w:val="001102C1"/>
    <w:rsid w:val="001102FA"/>
    <w:rsid w:val="001108C9"/>
    <w:rsid w:val="00112321"/>
    <w:rsid w:val="001127F8"/>
    <w:rsid w:val="00112AB1"/>
    <w:rsid w:val="001155E4"/>
    <w:rsid w:val="00115FED"/>
    <w:rsid w:val="001209F6"/>
    <w:rsid w:val="00121FCB"/>
    <w:rsid w:val="0012261C"/>
    <w:rsid w:val="00122A8B"/>
    <w:rsid w:val="00122F92"/>
    <w:rsid w:val="001230ED"/>
    <w:rsid w:val="001236D2"/>
    <w:rsid w:val="0012427F"/>
    <w:rsid w:val="0012448E"/>
    <w:rsid w:val="00124EB6"/>
    <w:rsid w:val="001254AF"/>
    <w:rsid w:val="001271F4"/>
    <w:rsid w:val="0013059E"/>
    <w:rsid w:val="00131499"/>
    <w:rsid w:val="00132A3F"/>
    <w:rsid w:val="0013406A"/>
    <w:rsid w:val="00134A33"/>
    <w:rsid w:val="001365D2"/>
    <w:rsid w:val="001365EC"/>
    <w:rsid w:val="001369F0"/>
    <w:rsid w:val="00140CB7"/>
    <w:rsid w:val="001424B7"/>
    <w:rsid w:val="001439E2"/>
    <w:rsid w:val="0014491E"/>
    <w:rsid w:val="00145313"/>
    <w:rsid w:val="00145935"/>
    <w:rsid w:val="00145C0C"/>
    <w:rsid w:val="00145F37"/>
    <w:rsid w:val="00145F63"/>
    <w:rsid w:val="001464D4"/>
    <w:rsid w:val="001467F9"/>
    <w:rsid w:val="00147DEA"/>
    <w:rsid w:val="00150D08"/>
    <w:rsid w:val="00150FB2"/>
    <w:rsid w:val="00151699"/>
    <w:rsid w:val="001518E2"/>
    <w:rsid w:val="0015246D"/>
    <w:rsid w:val="00154E79"/>
    <w:rsid w:val="00155585"/>
    <w:rsid w:val="001558F1"/>
    <w:rsid w:val="00161CD5"/>
    <w:rsid w:val="00162244"/>
    <w:rsid w:val="00164723"/>
    <w:rsid w:val="00165030"/>
    <w:rsid w:val="001722EF"/>
    <w:rsid w:val="001722F7"/>
    <w:rsid w:val="001738B3"/>
    <w:rsid w:val="00173B0D"/>
    <w:rsid w:val="001754E8"/>
    <w:rsid w:val="0017588C"/>
    <w:rsid w:val="001761BC"/>
    <w:rsid w:val="00176C3F"/>
    <w:rsid w:val="00176F84"/>
    <w:rsid w:val="00177F3F"/>
    <w:rsid w:val="001821D8"/>
    <w:rsid w:val="001826F5"/>
    <w:rsid w:val="00182C9C"/>
    <w:rsid w:val="0018365C"/>
    <w:rsid w:val="00183EF0"/>
    <w:rsid w:val="00183FAC"/>
    <w:rsid w:val="00184451"/>
    <w:rsid w:val="00186C02"/>
    <w:rsid w:val="00190263"/>
    <w:rsid w:val="00191642"/>
    <w:rsid w:val="001923FD"/>
    <w:rsid w:val="001927A5"/>
    <w:rsid w:val="0019290F"/>
    <w:rsid w:val="00192925"/>
    <w:rsid w:val="00193077"/>
    <w:rsid w:val="00194C4F"/>
    <w:rsid w:val="00195A6D"/>
    <w:rsid w:val="00195B1F"/>
    <w:rsid w:val="00196117"/>
    <w:rsid w:val="00196230"/>
    <w:rsid w:val="0019731E"/>
    <w:rsid w:val="00197604"/>
    <w:rsid w:val="001A074D"/>
    <w:rsid w:val="001A0B55"/>
    <w:rsid w:val="001A0D60"/>
    <w:rsid w:val="001A167C"/>
    <w:rsid w:val="001A2BE9"/>
    <w:rsid w:val="001A2EE1"/>
    <w:rsid w:val="001A3119"/>
    <w:rsid w:val="001A38A4"/>
    <w:rsid w:val="001A3F49"/>
    <w:rsid w:val="001A4ABC"/>
    <w:rsid w:val="001A4AEC"/>
    <w:rsid w:val="001A4BCD"/>
    <w:rsid w:val="001A555B"/>
    <w:rsid w:val="001A56C1"/>
    <w:rsid w:val="001A5BFB"/>
    <w:rsid w:val="001A690A"/>
    <w:rsid w:val="001A7B3A"/>
    <w:rsid w:val="001A7BE3"/>
    <w:rsid w:val="001B0547"/>
    <w:rsid w:val="001B06DB"/>
    <w:rsid w:val="001B0E83"/>
    <w:rsid w:val="001B1D65"/>
    <w:rsid w:val="001B1DF0"/>
    <w:rsid w:val="001B3F72"/>
    <w:rsid w:val="001B4E9A"/>
    <w:rsid w:val="001C0104"/>
    <w:rsid w:val="001C063E"/>
    <w:rsid w:val="001C128A"/>
    <w:rsid w:val="001C1C44"/>
    <w:rsid w:val="001C1D96"/>
    <w:rsid w:val="001C22F1"/>
    <w:rsid w:val="001C24F2"/>
    <w:rsid w:val="001C3126"/>
    <w:rsid w:val="001C43C1"/>
    <w:rsid w:val="001C4611"/>
    <w:rsid w:val="001C491B"/>
    <w:rsid w:val="001C5F4D"/>
    <w:rsid w:val="001C6F8F"/>
    <w:rsid w:val="001C756A"/>
    <w:rsid w:val="001D03E3"/>
    <w:rsid w:val="001D05E8"/>
    <w:rsid w:val="001D0654"/>
    <w:rsid w:val="001D09D5"/>
    <w:rsid w:val="001D0E88"/>
    <w:rsid w:val="001D1B8E"/>
    <w:rsid w:val="001D1EAA"/>
    <w:rsid w:val="001D2F0A"/>
    <w:rsid w:val="001D3A5B"/>
    <w:rsid w:val="001D4B83"/>
    <w:rsid w:val="001D666F"/>
    <w:rsid w:val="001D7674"/>
    <w:rsid w:val="001E0A60"/>
    <w:rsid w:val="001E176E"/>
    <w:rsid w:val="001E5A46"/>
    <w:rsid w:val="001E7295"/>
    <w:rsid w:val="001F0340"/>
    <w:rsid w:val="001F12C6"/>
    <w:rsid w:val="001F2710"/>
    <w:rsid w:val="001F2EE0"/>
    <w:rsid w:val="001F3FFC"/>
    <w:rsid w:val="001F45CA"/>
    <w:rsid w:val="001F52C8"/>
    <w:rsid w:val="001F5D66"/>
    <w:rsid w:val="001F6446"/>
    <w:rsid w:val="001F6836"/>
    <w:rsid w:val="001F6F28"/>
    <w:rsid w:val="001F721C"/>
    <w:rsid w:val="001F78D1"/>
    <w:rsid w:val="001F7E75"/>
    <w:rsid w:val="00200AFC"/>
    <w:rsid w:val="00201DED"/>
    <w:rsid w:val="00201E91"/>
    <w:rsid w:val="00202384"/>
    <w:rsid w:val="00202BCC"/>
    <w:rsid w:val="00202C29"/>
    <w:rsid w:val="00203416"/>
    <w:rsid w:val="00204D9C"/>
    <w:rsid w:val="0020550D"/>
    <w:rsid w:val="0020559C"/>
    <w:rsid w:val="002066ED"/>
    <w:rsid w:val="0020794F"/>
    <w:rsid w:val="0021193F"/>
    <w:rsid w:val="00211E4F"/>
    <w:rsid w:val="00212641"/>
    <w:rsid w:val="00212D20"/>
    <w:rsid w:val="00213312"/>
    <w:rsid w:val="00213468"/>
    <w:rsid w:val="00213932"/>
    <w:rsid w:val="00213991"/>
    <w:rsid w:val="0021460C"/>
    <w:rsid w:val="002148A9"/>
    <w:rsid w:val="00214947"/>
    <w:rsid w:val="00215F67"/>
    <w:rsid w:val="00217C2A"/>
    <w:rsid w:val="00217C5C"/>
    <w:rsid w:val="00220076"/>
    <w:rsid w:val="002204AC"/>
    <w:rsid w:val="00220720"/>
    <w:rsid w:val="00222FBB"/>
    <w:rsid w:val="00222FFB"/>
    <w:rsid w:val="00223A70"/>
    <w:rsid w:val="002248CF"/>
    <w:rsid w:val="002254CA"/>
    <w:rsid w:val="00225E7C"/>
    <w:rsid w:val="00226782"/>
    <w:rsid w:val="0022693E"/>
    <w:rsid w:val="002275F0"/>
    <w:rsid w:val="002276C7"/>
    <w:rsid w:val="00227D79"/>
    <w:rsid w:val="00227E4A"/>
    <w:rsid w:val="00231385"/>
    <w:rsid w:val="00231986"/>
    <w:rsid w:val="00231C7F"/>
    <w:rsid w:val="00231D88"/>
    <w:rsid w:val="00232E5F"/>
    <w:rsid w:val="00233F3C"/>
    <w:rsid w:val="00234694"/>
    <w:rsid w:val="0023642F"/>
    <w:rsid w:val="002364D6"/>
    <w:rsid w:val="0023666D"/>
    <w:rsid w:val="0024121E"/>
    <w:rsid w:val="002413B0"/>
    <w:rsid w:val="0024217C"/>
    <w:rsid w:val="00243B24"/>
    <w:rsid w:val="0024423D"/>
    <w:rsid w:val="0024481F"/>
    <w:rsid w:val="00244ECD"/>
    <w:rsid w:val="0024534F"/>
    <w:rsid w:val="002474A4"/>
    <w:rsid w:val="002504F9"/>
    <w:rsid w:val="00251675"/>
    <w:rsid w:val="0025188F"/>
    <w:rsid w:val="00254E57"/>
    <w:rsid w:val="00255BFD"/>
    <w:rsid w:val="00256615"/>
    <w:rsid w:val="00256D7F"/>
    <w:rsid w:val="00260150"/>
    <w:rsid w:val="002625CE"/>
    <w:rsid w:val="00262BA5"/>
    <w:rsid w:val="00262C5D"/>
    <w:rsid w:val="00263672"/>
    <w:rsid w:val="00264E6C"/>
    <w:rsid w:val="00265394"/>
    <w:rsid w:val="00266019"/>
    <w:rsid w:val="0027037C"/>
    <w:rsid w:val="0027117E"/>
    <w:rsid w:val="00272723"/>
    <w:rsid w:val="00272DE0"/>
    <w:rsid w:val="00273CAB"/>
    <w:rsid w:val="00274193"/>
    <w:rsid w:val="00274F33"/>
    <w:rsid w:val="00275250"/>
    <w:rsid w:val="00275D6D"/>
    <w:rsid w:val="002770B2"/>
    <w:rsid w:val="00277D6F"/>
    <w:rsid w:val="002807F0"/>
    <w:rsid w:val="0028159A"/>
    <w:rsid w:val="002828C6"/>
    <w:rsid w:val="00282AEA"/>
    <w:rsid w:val="00283419"/>
    <w:rsid w:val="002839C5"/>
    <w:rsid w:val="00285CC5"/>
    <w:rsid w:val="00290836"/>
    <w:rsid w:val="002908FC"/>
    <w:rsid w:val="00290A38"/>
    <w:rsid w:val="00290F0A"/>
    <w:rsid w:val="00291832"/>
    <w:rsid w:val="00291ABD"/>
    <w:rsid w:val="00291F97"/>
    <w:rsid w:val="002932B0"/>
    <w:rsid w:val="002932EF"/>
    <w:rsid w:val="00296D2F"/>
    <w:rsid w:val="002975C6"/>
    <w:rsid w:val="002975FA"/>
    <w:rsid w:val="00297E9D"/>
    <w:rsid w:val="002A0ADD"/>
    <w:rsid w:val="002A14EE"/>
    <w:rsid w:val="002A29B4"/>
    <w:rsid w:val="002A2AF6"/>
    <w:rsid w:val="002A36FF"/>
    <w:rsid w:val="002A437F"/>
    <w:rsid w:val="002A48C1"/>
    <w:rsid w:val="002A52F2"/>
    <w:rsid w:val="002A5816"/>
    <w:rsid w:val="002A6302"/>
    <w:rsid w:val="002A683F"/>
    <w:rsid w:val="002A6E6F"/>
    <w:rsid w:val="002A74ED"/>
    <w:rsid w:val="002B1426"/>
    <w:rsid w:val="002B19AD"/>
    <w:rsid w:val="002B1B7E"/>
    <w:rsid w:val="002B2E99"/>
    <w:rsid w:val="002B3341"/>
    <w:rsid w:val="002B3A76"/>
    <w:rsid w:val="002B40E3"/>
    <w:rsid w:val="002B4BB9"/>
    <w:rsid w:val="002B4F6B"/>
    <w:rsid w:val="002B6B13"/>
    <w:rsid w:val="002B7CC7"/>
    <w:rsid w:val="002C09A4"/>
    <w:rsid w:val="002C09BE"/>
    <w:rsid w:val="002C3117"/>
    <w:rsid w:val="002C3255"/>
    <w:rsid w:val="002C332A"/>
    <w:rsid w:val="002C3F86"/>
    <w:rsid w:val="002C4FB7"/>
    <w:rsid w:val="002C5898"/>
    <w:rsid w:val="002C59BD"/>
    <w:rsid w:val="002C6596"/>
    <w:rsid w:val="002C704E"/>
    <w:rsid w:val="002C7A90"/>
    <w:rsid w:val="002D0402"/>
    <w:rsid w:val="002D1737"/>
    <w:rsid w:val="002D17DA"/>
    <w:rsid w:val="002D4694"/>
    <w:rsid w:val="002D4DBF"/>
    <w:rsid w:val="002D5179"/>
    <w:rsid w:val="002D61D0"/>
    <w:rsid w:val="002E01B2"/>
    <w:rsid w:val="002E0C6D"/>
    <w:rsid w:val="002E13BC"/>
    <w:rsid w:val="002E140B"/>
    <w:rsid w:val="002E3346"/>
    <w:rsid w:val="002E3557"/>
    <w:rsid w:val="002E413E"/>
    <w:rsid w:val="002E5EE1"/>
    <w:rsid w:val="002E7442"/>
    <w:rsid w:val="002F03D6"/>
    <w:rsid w:val="002F0E05"/>
    <w:rsid w:val="002F1364"/>
    <w:rsid w:val="002F15DB"/>
    <w:rsid w:val="002F1792"/>
    <w:rsid w:val="002F1863"/>
    <w:rsid w:val="002F1A69"/>
    <w:rsid w:val="002F21BB"/>
    <w:rsid w:val="002F5DEB"/>
    <w:rsid w:val="002F79F0"/>
    <w:rsid w:val="00300AF5"/>
    <w:rsid w:val="003019D6"/>
    <w:rsid w:val="00304296"/>
    <w:rsid w:val="00304993"/>
    <w:rsid w:val="00305E87"/>
    <w:rsid w:val="00306B2F"/>
    <w:rsid w:val="00311A82"/>
    <w:rsid w:val="00311DFE"/>
    <w:rsid w:val="00313675"/>
    <w:rsid w:val="003139C4"/>
    <w:rsid w:val="00315F63"/>
    <w:rsid w:val="00317444"/>
    <w:rsid w:val="0032021A"/>
    <w:rsid w:val="00320814"/>
    <w:rsid w:val="00320E6A"/>
    <w:rsid w:val="003212C8"/>
    <w:rsid w:val="003243C9"/>
    <w:rsid w:val="003249E1"/>
    <w:rsid w:val="00325795"/>
    <w:rsid w:val="00325812"/>
    <w:rsid w:val="00325BF4"/>
    <w:rsid w:val="003262C9"/>
    <w:rsid w:val="00326E13"/>
    <w:rsid w:val="003276E6"/>
    <w:rsid w:val="00327821"/>
    <w:rsid w:val="00327888"/>
    <w:rsid w:val="00330C55"/>
    <w:rsid w:val="003316EF"/>
    <w:rsid w:val="003318B5"/>
    <w:rsid w:val="00331DB1"/>
    <w:rsid w:val="00332429"/>
    <w:rsid w:val="0033293C"/>
    <w:rsid w:val="00332EE8"/>
    <w:rsid w:val="003331CE"/>
    <w:rsid w:val="0033362F"/>
    <w:rsid w:val="00333ADD"/>
    <w:rsid w:val="00334854"/>
    <w:rsid w:val="00334DAF"/>
    <w:rsid w:val="00334E44"/>
    <w:rsid w:val="003351D6"/>
    <w:rsid w:val="00336567"/>
    <w:rsid w:val="00336773"/>
    <w:rsid w:val="003372A0"/>
    <w:rsid w:val="003379F4"/>
    <w:rsid w:val="00337BAE"/>
    <w:rsid w:val="00337FE7"/>
    <w:rsid w:val="00337FF3"/>
    <w:rsid w:val="003402F0"/>
    <w:rsid w:val="003404C9"/>
    <w:rsid w:val="00340A52"/>
    <w:rsid w:val="00340BA8"/>
    <w:rsid w:val="003419CF"/>
    <w:rsid w:val="00342323"/>
    <w:rsid w:val="00346C4F"/>
    <w:rsid w:val="003477F4"/>
    <w:rsid w:val="00347FA8"/>
    <w:rsid w:val="00350540"/>
    <w:rsid w:val="00350DA5"/>
    <w:rsid w:val="00351038"/>
    <w:rsid w:val="00351DCA"/>
    <w:rsid w:val="0035252E"/>
    <w:rsid w:val="00353254"/>
    <w:rsid w:val="003533E7"/>
    <w:rsid w:val="0035379C"/>
    <w:rsid w:val="0035382B"/>
    <w:rsid w:val="00354517"/>
    <w:rsid w:val="00354BBD"/>
    <w:rsid w:val="00357187"/>
    <w:rsid w:val="003571DA"/>
    <w:rsid w:val="00360F4B"/>
    <w:rsid w:val="00361110"/>
    <w:rsid w:val="003619B1"/>
    <w:rsid w:val="00361F81"/>
    <w:rsid w:val="0036295B"/>
    <w:rsid w:val="0036386E"/>
    <w:rsid w:val="00363BD3"/>
    <w:rsid w:val="00363D35"/>
    <w:rsid w:val="003647E4"/>
    <w:rsid w:val="003667B9"/>
    <w:rsid w:val="003704B2"/>
    <w:rsid w:val="00370908"/>
    <w:rsid w:val="00370FB5"/>
    <w:rsid w:val="003710EC"/>
    <w:rsid w:val="003710F4"/>
    <w:rsid w:val="00371D92"/>
    <w:rsid w:val="00372E70"/>
    <w:rsid w:val="00373776"/>
    <w:rsid w:val="003745CB"/>
    <w:rsid w:val="00375D1C"/>
    <w:rsid w:val="003766B8"/>
    <w:rsid w:val="00376B9F"/>
    <w:rsid w:val="00376C5E"/>
    <w:rsid w:val="00381032"/>
    <w:rsid w:val="003862B4"/>
    <w:rsid w:val="003871D9"/>
    <w:rsid w:val="0038771D"/>
    <w:rsid w:val="00387C6F"/>
    <w:rsid w:val="003907B7"/>
    <w:rsid w:val="0039090E"/>
    <w:rsid w:val="00391151"/>
    <w:rsid w:val="00392723"/>
    <w:rsid w:val="003928DF"/>
    <w:rsid w:val="00392BDD"/>
    <w:rsid w:val="00394B31"/>
    <w:rsid w:val="003A048B"/>
    <w:rsid w:val="003A18B5"/>
    <w:rsid w:val="003A1929"/>
    <w:rsid w:val="003A1981"/>
    <w:rsid w:val="003A2CD5"/>
    <w:rsid w:val="003A2F3D"/>
    <w:rsid w:val="003A3BE6"/>
    <w:rsid w:val="003A6A35"/>
    <w:rsid w:val="003A6AE4"/>
    <w:rsid w:val="003A78C3"/>
    <w:rsid w:val="003A7BC8"/>
    <w:rsid w:val="003B0D35"/>
    <w:rsid w:val="003B1517"/>
    <w:rsid w:val="003B2101"/>
    <w:rsid w:val="003B21B3"/>
    <w:rsid w:val="003B257F"/>
    <w:rsid w:val="003B2652"/>
    <w:rsid w:val="003B290B"/>
    <w:rsid w:val="003B3672"/>
    <w:rsid w:val="003B6974"/>
    <w:rsid w:val="003B7373"/>
    <w:rsid w:val="003B7B55"/>
    <w:rsid w:val="003C2774"/>
    <w:rsid w:val="003C29BB"/>
    <w:rsid w:val="003C327D"/>
    <w:rsid w:val="003C3432"/>
    <w:rsid w:val="003C3D11"/>
    <w:rsid w:val="003C4DA0"/>
    <w:rsid w:val="003C60E0"/>
    <w:rsid w:val="003C73E8"/>
    <w:rsid w:val="003C7F91"/>
    <w:rsid w:val="003D1A88"/>
    <w:rsid w:val="003D26D2"/>
    <w:rsid w:val="003D28DE"/>
    <w:rsid w:val="003D43B0"/>
    <w:rsid w:val="003D5791"/>
    <w:rsid w:val="003D5BA3"/>
    <w:rsid w:val="003D5D3D"/>
    <w:rsid w:val="003D5E97"/>
    <w:rsid w:val="003E15B7"/>
    <w:rsid w:val="003E1B0B"/>
    <w:rsid w:val="003E1C73"/>
    <w:rsid w:val="003E1FE2"/>
    <w:rsid w:val="003E2B5F"/>
    <w:rsid w:val="003E3DD8"/>
    <w:rsid w:val="003E4EB3"/>
    <w:rsid w:val="003E51E5"/>
    <w:rsid w:val="003E5468"/>
    <w:rsid w:val="003E5837"/>
    <w:rsid w:val="003E5B2B"/>
    <w:rsid w:val="003E6A92"/>
    <w:rsid w:val="003F04C4"/>
    <w:rsid w:val="003F1F2A"/>
    <w:rsid w:val="003F26D9"/>
    <w:rsid w:val="003F376F"/>
    <w:rsid w:val="003F5285"/>
    <w:rsid w:val="003F59DA"/>
    <w:rsid w:val="003F6199"/>
    <w:rsid w:val="003F65DB"/>
    <w:rsid w:val="003F7441"/>
    <w:rsid w:val="003F7A02"/>
    <w:rsid w:val="00401F4C"/>
    <w:rsid w:val="004026EA"/>
    <w:rsid w:val="00404564"/>
    <w:rsid w:val="00404B1D"/>
    <w:rsid w:val="00406477"/>
    <w:rsid w:val="00407A46"/>
    <w:rsid w:val="004100D1"/>
    <w:rsid w:val="0041196D"/>
    <w:rsid w:val="0041211C"/>
    <w:rsid w:val="004124C6"/>
    <w:rsid w:val="00413809"/>
    <w:rsid w:val="004143D7"/>
    <w:rsid w:val="00416783"/>
    <w:rsid w:val="00416FF1"/>
    <w:rsid w:val="004201BF"/>
    <w:rsid w:val="004205C6"/>
    <w:rsid w:val="0042081C"/>
    <w:rsid w:val="00420A0E"/>
    <w:rsid w:val="00420F10"/>
    <w:rsid w:val="00422C86"/>
    <w:rsid w:val="00424718"/>
    <w:rsid w:val="00424DB8"/>
    <w:rsid w:val="0042558C"/>
    <w:rsid w:val="00426CD5"/>
    <w:rsid w:val="00427899"/>
    <w:rsid w:val="00427F8D"/>
    <w:rsid w:val="0043020C"/>
    <w:rsid w:val="00430CD3"/>
    <w:rsid w:val="00431817"/>
    <w:rsid w:val="00431C84"/>
    <w:rsid w:val="004337D1"/>
    <w:rsid w:val="00433D91"/>
    <w:rsid w:val="00433E64"/>
    <w:rsid w:val="0043447A"/>
    <w:rsid w:val="0043581A"/>
    <w:rsid w:val="00435F36"/>
    <w:rsid w:val="004367FF"/>
    <w:rsid w:val="00437BB3"/>
    <w:rsid w:val="0044023F"/>
    <w:rsid w:val="00440542"/>
    <w:rsid w:val="00440F16"/>
    <w:rsid w:val="00441B96"/>
    <w:rsid w:val="004426D8"/>
    <w:rsid w:val="004428AB"/>
    <w:rsid w:val="00444A64"/>
    <w:rsid w:val="00444ED3"/>
    <w:rsid w:val="004451B2"/>
    <w:rsid w:val="004476D3"/>
    <w:rsid w:val="00447B39"/>
    <w:rsid w:val="00447B6B"/>
    <w:rsid w:val="004506EE"/>
    <w:rsid w:val="004512E6"/>
    <w:rsid w:val="0045192D"/>
    <w:rsid w:val="004530C6"/>
    <w:rsid w:val="0045381E"/>
    <w:rsid w:val="00453EE5"/>
    <w:rsid w:val="004540ED"/>
    <w:rsid w:val="00455C0D"/>
    <w:rsid w:val="00456F31"/>
    <w:rsid w:val="0046117C"/>
    <w:rsid w:val="004620BD"/>
    <w:rsid w:val="0046341C"/>
    <w:rsid w:val="00463448"/>
    <w:rsid w:val="00463C29"/>
    <w:rsid w:val="00463CB4"/>
    <w:rsid w:val="00464334"/>
    <w:rsid w:val="00465C1E"/>
    <w:rsid w:val="004666E1"/>
    <w:rsid w:val="0046774B"/>
    <w:rsid w:val="00467F7D"/>
    <w:rsid w:val="0047013A"/>
    <w:rsid w:val="00470B9F"/>
    <w:rsid w:val="00471162"/>
    <w:rsid w:val="00471362"/>
    <w:rsid w:val="004715C0"/>
    <w:rsid w:val="00471A9E"/>
    <w:rsid w:val="00472063"/>
    <w:rsid w:val="004720A7"/>
    <w:rsid w:val="00472151"/>
    <w:rsid w:val="00472560"/>
    <w:rsid w:val="004728E3"/>
    <w:rsid w:val="0047539C"/>
    <w:rsid w:val="004760B3"/>
    <w:rsid w:val="00480076"/>
    <w:rsid w:val="004803AB"/>
    <w:rsid w:val="00480C79"/>
    <w:rsid w:val="004815B5"/>
    <w:rsid w:val="0048398A"/>
    <w:rsid w:val="00483E80"/>
    <w:rsid w:val="00486460"/>
    <w:rsid w:val="004870B4"/>
    <w:rsid w:val="004902C2"/>
    <w:rsid w:val="00490660"/>
    <w:rsid w:val="00490865"/>
    <w:rsid w:val="00492C2C"/>
    <w:rsid w:val="00492CA0"/>
    <w:rsid w:val="00493080"/>
    <w:rsid w:val="00494455"/>
    <w:rsid w:val="00495594"/>
    <w:rsid w:val="00496892"/>
    <w:rsid w:val="00496E1E"/>
    <w:rsid w:val="0049701D"/>
    <w:rsid w:val="004A04E1"/>
    <w:rsid w:val="004A12C7"/>
    <w:rsid w:val="004A12F2"/>
    <w:rsid w:val="004A1E21"/>
    <w:rsid w:val="004A3D08"/>
    <w:rsid w:val="004A4258"/>
    <w:rsid w:val="004A4421"/>
    <w:rsid w:val="004A4472"/>
    <w:rsid w:val="004A4E8B"/>
    <w:rsid w:val="004A4FCC"/>
    <w:rsid w:val="004A6F6B"/>
    <w:rsid w:val="004A7AB5"/>
    <w:rsid w:val="004B0393"/>
    <w:rsid w:val="004B03CB"/>
    <w:rsid w:val="004B1FF1"/>
    <w:rsid w:val="004B2BC1"/>
    <w:rsid w:val="004B2F0E"/>
    <w:rsid w:val="004B2F1C"/>
    <w:rsid w:val="004B2F25"/>
    <w:rsid w:val="004B3A5E"/>
    <w:rsid w:val="004B3A89"/>
    <w:rsid w:val="004B3DB5"/>
    <w:rsid w:val="004B4EDB"/>
    <w:rsid w:val="004B5CFB"/>
    <w:rsid w:val="004B7989"/>
    <w:rsid w:val="004B7A4C"/>
    <w:rsid w:val="004C105B"/>
    <w:rsid w:val="004C1507"/>
    <w:rsid w:val="004C2981"/>
    <w:rsid w:val="004C2D40"/>
    <w:rsid w:val="004C349A"/>
    <w:rsid w:val="004C37B1"/>
    <w:rsid w:val="004C4263"/>
    <w:rsid w:val="004C49CC"/>
    <w:rsid w:val="004C51D3"/>
    <w:rsid w:val="004C51DA"/>
    <w:rsid w:val="004C5C42"/>
    <w:rsid w:val="004D0B0E"/>
    <w:rsid w:val="004D1755"/>
    <w:rsid w:val="004D1A54"/>
    <w:rsid w:val="004D1CD2"/>
    <w:rsid w:val="004D23D0"/>
    <w:rsid w:val="004D2545"/>
    <w:rsid w:val="004D35B8"/>
    <w:rsid w:val="004D3A0C"/>
    <w:rsid w:val="004D4F10"/>
    <w:rsid w:val="004D5574"/>
    <w:rsid w:val="004D6BF4"/>
    <w:rsid w:val="004D6E93"/>
    <w:rsid w:val="004D79DC"/>
    <w:rsid w:val="004D7F1A"/>
    <w:rsid w:val="004E094A"/>
    <w:rsid w:val="004E1446"/>
    <w:rsid w:val="004E18C2"/>
    <w:rsid w:val="004E1BD4"/>
    <w:rsid w:val="004E2449"/>
    <w:rsid w:val="004E3467"/>
    <w:rsid w:val="004E4E2A"/>
    <w:rsid w:val="004E6855"/>
    <w:rsid w:val="004E6B2F"/>
    <w:rsid w:val="004F0835"/>
    <w:rsid w:val="004F218E"/>
    <w:rsid w:val="004F4EA6"/>
    <w:rsid w:val="004F6E35"/>
    <w:rsid w:val="004F7C86"/>
    <w:rsid w:val="00500B4E"/>
    <w:rsid w:val="0050220D"/>
    <w:rsid w:val="005022A0"/>
    <w:rsid w:val="005029BA"/>
    <w:rsid w:val="00504287"/>
    <w:rsid w:val="00504411"/>
    <w:rsid w:val="00504547"/>
    <w:rsid w:val="00506B68"/>
    <w:rsid w:val="005077FB"/>
    <w:rsid w:val="0050794D"/>
    <w:rsid w:val="00510BAA"/>
    <w:rsid w:val="00510FE6"/>
    <w:rsid w:val="005117DB"/>
    <w:rsid w:val="005123E9"/>
    <w:rsid w:val="00512470"/>
    <w:rsid w:val="00513124"/>
    <w:rsid w:val="005132D9"/>
    <w:rsid w:val="0051379C"/>
    <w:rsid w:val="005138E4"/>
    <w:rsid w:val="0051444A"/>
    <w:rsid w:val="00514900"/>
    <w:rsid w:val="00515E6E"/>
    <w:rsid w:val="00521297"/>
    <w:rsid w:val="00521401"/>
    <w:rsid w:val="00523C30"/>
    <w:rsid w:val="005256BA"/>
    <w:rsid w:val="0052590B"/>
    <w:rsid w:val="00526940"/>
    <w:rsid w:val="00530124"/>
    <w:rsid w:val="00530159"/>
    <w:rsid w:val="00530F94"/>
    <w:rsid w:val="005326F4"/>
    <w:rsid w:val="00533293"/>
    <w:rsid w:val="005339ED"/>
    <w:rsid w:val="0053429A"/>
    <w:rsid w:val="00534735"/>
    <w:rsid w:val="00536722"/>
    <w:rsid w:val="00536ECD"/>
    <w:rsid w:val="005372DB"/>
    <w:rsid w:val="0054037E"/>
    <w:rsid w:val="00540CC3"/>
    <w:rsid w:val="0054174C"/>
    <w:rsid w:val="00541D28"/>
    <w:rsid w:val="00541DD7"/>
    <w:rsid w:val="00542A1E"/>
    <w:rsid w:val="00543422"/>
    <w:rsid w:val="0054380C"/>
    <w:rsid w:val="00543A70"/>
    <w:rsid w:val="00545A00"/>
    <w:rsid w:val="00545BDD"/>
    <w:rsid w:val="00546DA7"/>
    <w:rsid w:val="005479E2"/>
    <w:rsid w:val="005501E6"/>
    <w:rsid w:val="0055138A"/>
    <w:rsid w:val="005531E5"/>
    <w:rsid w:val="00553616"/>
    <w:rsid w:val="00553E8F"/>
    <w:rsid w:val="0055400A"/>
    <w:rsid w:val="0055457E"/>
    <w:rsid w:val="005551BB"/>
    <w:rsid w:val="005561B5"/>
    <w:rsid w:val="00556B1C"/>
    <w:rsid w:val="00557ACE"/>
    <w:rsid w:val="005604EC"/>
    <w:rsid w:val="00560FBD"/>
    <w:rsid w:val="0056142F"/>
    <w:rsid w:val="005649C6"/>
    <w:rsid w:val="00565F3F"/>
    <w:rsid w:val="00565FA2"/>
    <w:rsid w:val="005676FA"/>
    <w:rsid w:val="00573A30"/>
    <w:rsid w:val="00573E21"/>
    <w:rsid w:val="00574205"/>
    <w:rsid w:val="005753D8"/>
    <w:rsid w:val="0057622C"/>
    <w:rsid w:val="00576717"/>
    <w:rsid w:val="00576D1A"/>
    <w:rsid w:val="00577597"/>
    <w:rsid w:val="005779E6"/>
    <w:rsid w:val="00577C1F"/>
    <w:rsid w:val="005813E2"/>
    <w:rsid w:val="0058169F"/>
    <w:rsid w:val="00582DF5"/>
    <w:rsid w:val="00582EE3"/>
    <w:rsid w:val="0058318A"/>
    <w:rsid w:val="00583D08"/>
    <w:rsid w:val="00584C3F"/>
    <w:rsid w:val="005853DE"/>
    <w:rsid w:val="00585FD6"/>
    <w:rsid w:val="00590D4B"/>
    <w:rsid w:val="00590ED7"/>
    <w:rsid w:val="005910A1"/>
    <w:rsid w:val="00591D1F"/>
    <w:rsid w:val="00593E17"/>
    <w:rsid w:val="00594730"/>
    <w:rsid w:val="005955B4"/>
    <w:rsid w:val="005963A7"/>
    <w:rsid w:val="005967C5"/>
    <w:rsid w:val="005968DB"/>
    <w:rsid w:val="00597A0C"/>
    <w:rsid w:val="005A198D"/>
    <w:rsid w:val="005A3B24"/>
    <w:rsid w:val="005A51C8"/>
    <w:rsid w:val="005A7577"/>
    <w:rsid w:val="005A76C9"/>
    <w:rsid w:val="005A7E8B"/>
    <w:rsid w:val="005B09A9"/>
    <w:rsid w:val="005B0B4F"/>
    <w:rsid w:val="005B0CFA"/>
    <w:rsid w:val="005B1C63"/>
    <w:rsid w:val="005B1D28"/>
    <w:rsid w:val="005B3589"/>
    <w:rsid w:val="005B48F9"/>
    <w:rsid w:val="005B4D62"/>
    <w:rsid w:val="005B50D7"/>
    <w:rsid w:val="005B58A9"/>
    <w:rsid w:val="005B59F2"/>
    <w:rsid w:val="005B7162"/>
    <w:rsid w:val="005C0226"/>
    <w:rsid w:val="005C130D"/>
    <w:rsid w:val="005C1BFA"/>
    <w:rsid w:val="005C29D2"/>
    <w:rsid w:val="005C2C87"/>
    <w:rsid w:val="005C3054"/>
    <w:rsid w:val="005C311F"/>
    <w:rsid w:val="005C35DF"/>
    <w:rsid w:val="005C42E3"/>
    <w:rsid w:val="005C432D"/>
    <w:rsid w:val="005C4D53"/>
    <w:rsid w:val="005C6E39"/>
    <w:rsid w:val="005C7E4C"/>
    <w:rsid w:val="005D0844"/>
    <w:rsid w:val="005D265F"/>
    <w:rsid w:val="005D2E31"/>
    <w:rsid w:val="005D3E04"/>
    <w:rsid w:val="005D42A9"/>
    <w:rsid w:val="005D5193"/>
    <w:rsid w:val="005D59CA"/>
    <w:rsid w:val="005D5C5C"/>
    <w:rsid w:val="005D5DE2"/>
    <w:rsid w:val="005D6FB1"/>
    <w:rsid w:val="005D75F7"/>
    <w:rsid w:val="005D7F3F"/>
    <w:rsid w:val="005E02C6"/>
    <w:rsid w:val="005E3148"/>
    <w:rsid w:val="005E356A"/>
    <w:rsid w:val="005E5CC8"/>
    <w:rsid w:val="005E5E99"/>
    <w:rsid w:val="005E6064"/>
    <w:rsid w:val="005E6BE0"/>
    <w:rsid w:val="005E7B82"/>
    <w:rsid w:val="005F0E35"/>
    <w:rsid w:val="005F15C4"/>
    <w:rsid w:val="005F164D"/>
    <w:rsid w:val="005F297C"/>
    <w:rsid w:val="005F2A89"/>
    <w:rsid w:val="005F37A3"/>
    <w:rsid w:val="005F38B2"/>
    <w:rsid w:val="005F400E"/>
    <w:rsid w:val="005F4622"/>
    <w:rsid w:val="005F4842"/>
    <w:rsid w:val="005F4CDF"/>
    <w:rsid w:val="005F6AF0"/>
    <w:rsid w:val="005F7E9D"/>
    <w:rsid w:val="00600C90"/>
    <w:rsid w:val="00603ED7"/>
    <w:rsid w:val="00604B11"/>
    <w:rsid w:val="006073D8"/>
    <w:rsid w:val="00610628"/>
    <w:rsid w:val="00610890"/>
    <w:rsid w:val="00612649"/>
    <w:rsid w:val="00612E12"/>
    <w:rsid w:val="0061320D"/>
    <w:rsid w:val="006135F3"/>
    <w:rsid w:val="00614C2F"/>
    <w:rsid w:val="00614C7A"/>
    <w:rsid w:val="0061582C"/>
    <w:rsid w:val="0061743E"/>
    <w:rsid w:val="00620402"/>
    <w:rsid w:val="00621007"/>
    <w:rsid w:val="00621C0F"/>
    <w:rsid w:val="00622332"/>
    <w:rsid w:val="00622564"/>
    <w:rsid w:val="0062354E"/>
    <w:rsid w:val="0062373F"/>
    <w:rsid w:val="00623ADF"/>
    <w:rsid w:val="006249AC"/>
    <w:rsid w:val="00624DD7"/>
    <w:rsid w:val="00625877"/>
    <w:rsid w:val="006258D0"/>
    <w:rsid w:val="006260F6"/>
    <w:rsid w:val="00626890"/>
    <w:rsid w:val="00626C64"/>
    <w:rsid w:val="006275DF"/>
    <w:rsid w:val="00631B14"/>
    <w:rsid w:val="00632351"/>
    <w:rsid w:val="00633749"/>
    <w:rsid w:val="00634207"/>
    <w:rsid w:val="00635F52"/>
    <w:rsid w:val="006379B4"/>
    <w:rsid w:val="00640B04"/>
    <w:rsid w:val="00641762"/>
    <w:rsid w:val="00641CA2"/>
    <w:rsid w:val="00642F17"/>
    <w:rsid w:val="00644BC0"/>
    <w:rsid w:val="006452F0"/>
    <w:rsid w:val="006457AA"/>
    <w:rsid w:val="006459C9"/>
    <w:rsid w:val="006459D1"/>
    <w:rsid w:val="00645AAA"/>
    <w:rsid w:val="00646EF3"/>
    <w:rsid w:val="00650A70"/>
    <w:rsid w:val="00651076"/>
    <w:rsid w:val="00651DAB"/>
    <w:rsid w:val="00652B96"/>
    <w:rsid w:val="00652C0C"/>
    <w:rsid w:val="00655A70"/>
    <w:rsid w:val="00656481"/>
    <w:rsid w:val="0065657E"/>
    <w:rsid w:val="006565A6"/>
    <w:rsid w:val="00656D46"/>
    <w:rsid w:val="0065782A"/>
    <w:rsid w:val="00657C3F"/>
    <w:rsid w:val="00661A26"/>
    <w:rsid w:val="00662143"/>
    <w:rsid w:val="00662C48"/>
    <w:rsid w:val="006635B5"/>
    <w:rsid w:val="006641B4"/>
    <w:rsid w:val="00666B86"/>
    <w:rsid w:val="00666B93"/>
    <w:rsid w:val="00666C57"/>
    <w:rsid w:val="00666FC8"/>
    <w:rsid w:val="00670AA2"/>
    <w:rsid w:val="0067172A"/>
    <w:rsid w:val="00671AAE"/>
    <w:rsid w:val="00671D18"/>
    <w:rsid w:val="0067262B"/>
    <w:rsid w:val="00674293"/>
    <w:rsid w:val="00675138"/>
    <w:rsid w:val="006759D0"/>
    <w:rsid w:val="00675D2A"/>
    <w:rsid w:val="00676726"/>
    <w:rsid w:val="0067679B"/>
    <w:rsid w:val="00676F1D"/>
    <w:rsid w:val="00677C7A"/>
    <w:rsid w:val="00680F5B"/>
    <w:rsid w:val="00681443"/>
    <w:rsid w:val="00683B15"/>
    <w:rsid w:val="00683D2E"/>
    <w:rsid w:val="00683FEC"/>
    <w:rsid w:val="00684393"/>
    <w:rsid w:val="00684A92"/>
    <w:rsid w:val="00685154"/>
    <w:rsid w:val="00685450"/>
    <w:rsid w:val="0068671D"/>
    <w:rsid w:val="0068691A"/>
    <w:rsid w:val="00687C1F"/>
    <w:rsid w:val="00690745"/>
    <w:rsid w:val="00692A3B"/>
    <w:rsid w:val="00692D20"/>
    <w:rsid w:val="00692FD6"/>
    <w:rsid w:val="00693F4F"/>
    <w:rsid w:val="00696937"/>
    <w:rsid w:val="006970AA"/>
    <w:rsid w:val="006A163C"/>
    <w:rsid w:val="006A18EA"/>
    <w:rsid w:val="006A19E2"/>
    <w:rsid w:val="006A262C"/>
    <w:rsid w:val="006A271E"/>
    <w:rsid w:val="006A39B4"/>
    <w:rsid w:val="006A4810"/>
    <w:rsid w:val="006A4A66"/>
    <w:rsid w:val="006A4C5F"/>
    <w:rsid w:val="006A5A4A"/>
    <w:rsid w:val="006A6B67"/>
    <w:rsid w:val="006B02BD"/>
    <w:rsid w:val="006B0808"/>
    <w:rsid w:val="006B1375"/>
    <w:rsid w:val="006B4B0E"/>
    <w:rsid w:val="006B533F"/>
    <w:rsid w:val="006B5690"/>
    <w:rsid w:val="006B5903"/>
    <w:rsid w:val="006B65AF"/>
    <w:rsid w:val="006B7644"/>
    <w:rsid w:val="006C0283"/>
    <w:rsid w:val="006C1057"/>
    <w:rsid w:val="006C116B"/>
    <w:rsid w:val="006C1AA4"/>
    <w:rsid w:val="006C2136"/>
    <w:rsid w:val="006C382A"/>
    <w:rsid w:val="006C48C5"/>
    <w:rsid w:val="006C497C"/>
    <w:rsid w:val="006C6678"/>
    <w:rsid w:val="006C6969"/>
    <w:rsid w:val="006C69A3"/>
    <w:rsid w:val="006C6B8A"/>
    <w:rsid w:val="006C6E79"/>
    <w:rsid w:val="006C6E7F"/>
    <w:rsid w:val="006C7DC3"/>
    <w:rsid w:val="006D0EB9"/>
    <w:rsid w:val="006D1ACA"/>
    <w:rsid w:val="006D2637"/>
    <w:rsid w:val="006D2EFC"/>
    <w:rsid w:val="006D78D1"/>
    <w:rsid w:val="006D7E3D"/>
    <w:rsid w:val="006E1152"/>
    <w:rsid w:val="006E142C"/>
    <w:rsid w:val="006E18D1"/>
    <w:rsid w:val="006E1D69"/>
    <w:rsid w:val="006E258D"/>
    <w:rsid w:val="006E2F9C"/>
    <w:rsid w:val="006E41D1"/>
    <w:rsid w:val="006E49F2"/>
    <w:rsid w:val="006E5084"/>
    <w:rsid w:val="006E5766"/>
    <w:rsid w:val="006E57C7"/>
    <w:rsid w:val="006E5A21"/>
    <w:rsid w:val="006E5B7B"/>
    <w:rsid w:val="006E5E30"/>
    <w:rsid w:val="006E7278"/>
    <w:rsid w:val="006F04E2"/>
    <w:rsid w:val="006F0964"/>
    <w:rsid w:val="006F09A7"/>
    <w:rsid w:val="006F10FE"/>
    <w:rsid w:val="006F14D9"/>
    <w:rsid w:val="006F17A0"/>
    <w:rsid w:val="006F1A26"/>
    <w:rsid w:val="006F24EC"/>
    <w:rsid w:val="006F2C1B"/>
    <w:rsid w:val="006F30F4"/>
    <w:rsid w:val="006F3B38"/>
    <w:rsid w:val="006F3D3F"/>
    <w:rsid w:val="006F58B9"/>
    <w:rsid w:val="006F5CF0"/>
    <w:rsid w:val="006F5EF9"/>
    <w:rsid w:val="006F7543"/>
    <w:rsid w:val="006F785F"/>
    <w:rsid w:val="0070009C"/>
    <w:rsid w:val="007020BE"/>
    <w:rsid w:val="0070297E"/>
    <w:rsid w:val="00702CE0"/>
    <w:rsid w:val="00705065"/>
    <w:rsid w:val="00705531"/>
    <w:rsid w:val="00706BA1"/>
    <w:rsid w:val="00706E4C"/>
    <w:rsid w:val="00707280"/>
    <w:rsid w:val="007072FC"/>
    <w:rsid w:val="00707DBC"/>
    <w:rsid w:val="007100DB"/>
    <w:rsid w:val="00710408"/>
    <w:rsid w:val="00710618"/>
    <w:rsid w:val="007130A9"/>
    <w:rsid w:val="0071345E"/>
    <w:rsid w:val="00714982"/>
    <w:rsid w:val="00715DD4"/>
    <w:rsid w:val="00716B67"/>
    <w:rsid w:val="00716CEF"/>
    <w:rsid w:val="00717416"/>
    <w:rsid w:val="00717B08"/>
    <w:rsid w:val="00717B63"/>
    <w:rsid w:val="0072016D"/>
    <w:rsid w:val="00721AA7"/>
    <w:rsid w:val="0072215E"/>
    <w:rsid w:val="007223C4"/>
    <w:rsid w:val="00723F33"/>
    <w:rsid w:val="007261F1"/>
    <w:rsid w:val="007273E8"/>
    <w:rsid w:val="0073004D"/>
    <w:rsid w:val="007305BF"/>
    <w:rsid w:val="007305D5"/>
    <w:rsid w:val="00730925"/>
    <w:rsid w:val="00730A96"/>
    <w:rsid w:val="00730E7E"/>
    <w:rsid w:val="00731122"/>
    <w:rsid w:val="007317F2"/>
    <w:rsid w:val="007329B8"/>
    <w:rsid w:val="00733BEE"/>
    <w:rsid w:val="0073427A"/>
    <w:rsid w:val="00734445"/>
    <w:rsid w:val="00735FF8"/>
    <w:rsid w:val="00741275"/>
    <w:rsid w:val="007422B8"/>
    <w:rsid w:val="007424C1"/>
    <w:rsid w:val="00743281"/>
    <w:rsid w:val="00744316"/>
    <w:rsid w:val="00744BB6"/>
    <w:rsid w:val="00746527"/>
    <w:rsid w:val="00750164"/>
    <w:rsid w:val="00750600"/>
    <w:rsid w:val="00750C39"/>
    <w:rsid w:val="00751F79"/>
    <w:rsid w:val="00751FB6"/>
    <w:rsid w:val="007535C5"/>
    <w:rsid w:val="00753895"/>
    <w:rsid w:val="00754775"/>
    <w:rsid w:val="00755768"/>
    <w:rsid w:val="00756B85"/>
    <w:rsid w:val="00756C3C"/>
    <w:rsid w:val="00757154"/>
    <w:rsid w:val="00757AC5"/>
    <w:rsid w:val="00760E78"/>
    <w:rsid w:val="0076147D"/>
    <w:rsid w:val="00763800"/>
    <w:rsid w:val="00763B36"/>
    <w:rsid w:val="007663A6"/>
    <w:rsid w:val="0076731F"/>
    <w:rsid w:val="007675F0"/>
    <w:rsid w:val="00767828"/>
    <w:rsid w:val="00772AE0"/>
    <w:rsid w:val="00773C18"/>
    <w:rsid w:val="00773D4B"/>
    <w:rsid w:val="007805B7"/>
    <w:rsid w:val="00782EB3"/>
    <w:rsid w:val="007831C4"/>
    <w:rsid w:val="00783300"/>
    <w:rsid w:val="007838B2"/>
    <w:rsid w:val="00784878"/>
    <w:rsid w:val="00784AB0"/>
    <w:rsid w:val="00785125"/>
    <w:rsid w:val="00790728"/>
    <w:rsid w:val="00790990"/>
    <w:rsid w:val="00791E9A"/>
    <w:rsid w:val="00792273"/>
    <w:rsid w:val="00792352"/>
    <w:rsid w:val="0079281F"/>
    <w:rsid w:val="00792F45"/>
    <w:rsid w:val="0079351F"/>
    <w:rsid w:val="00793EF5"/>
    <w:rsid w:val="0079451C"/>
    <w:rsid w:val="00796688"/>
    <w:rsid w:val="00796AA2"/>
    <w:rsid w:val="007A096E"/>
    <w:rsid w:val="007A13B6"/>
    <w:rsid w:val="007A3530"/>
    <w:rsid w:val="007A387F"/>
    <w:rsid w:val="007A3A6F"/>
    <w:rsid w:val="007A402A"/>
    <w:rsid w:val="007A6D66"/>
    <w:rsid w:val="007B0162"/>
    <w:rsid w:val="007B1A9F"/>
    <w:rsid w:val="007B20CB"/>
    <w:rsid w:val="007B42DE"/>
    <w:rsid w:val="007B4A48"/>
    <w:rsid w:val="007B523D"/>
    <w:rsid w:val="007B6D5D"/>
    <w:rsid w:val="007C06EA"/>
    <w:rsid w:val="007C14D8"/>
    <w:rsid w:val="007C2FB5"/>
    <w:rsid w:val="007C3769"/>
    <w:rsid w:val="007C3AE8"/>
    <w:rsid w:val="007C50BE"/>
    <w:rsid w:val="007C5F29"/>
    <w:rsid w:val="007C6007"/>
    <w:rsid w:val="007C6F8E"/>
    <w:rsid w:val="007C789F"/>
    <w:rsid w:val="007C7AC7"/>
    <w:rsid w:val="007C7D46"/>
    <w:rsid w:val="007D0056"/>
    <w:rsid w:val="007D0CBD"/>
    <w:rsid w:val="007D134C"/>
    <w:rsid w:val="007D2521"/>
    <w:rsid w:val="007D275C"/>
    <w:rsid w:val="007D2C26"/>
    <w:rsid w:val="007D305F"/>
    <w:rsid w:val="007D3D46"/>
    <w:rsid w:val="007D4944"/>
    <w:rsid w:val="007D6BEC"/>
    <w:rsid w:val="007D7122"/>
    <w:rsid w:val="007E0C45"/>
    <w:rsid w:val="007E24BB"/>
    <w:rsid w:val="007E285C"/>
    <w:rsid w:val="007E29C2"/>
    <w:rsid w:val="007E2D4A"/>
    <w:rsid w:val="007E3215"/>
    <w:rsid w:val="007E344E"/>
    <w:rsid w:val="007E4CA5"/>
    <w:rsid w:val="007E586A"/>
    <w:rsid w:val="007E6794"/>
    <w:rsid w:val="007E6C98"/>
    <w:rsid w:val="007F07B4"/>
    <w:rsid w:val="007F0F0F"/>
    <w:rsid w:val="007F1C33"/>
    <w:rsid w:val="007F1E93"/>
    <w:rsid w:val="007F202B"/>
    <w:rsid w:val="007F32A8"/>
    <w:rsid w:val="007F4CA2"/>
    <w:rsid w:val="007F4FC1"/>
    <w:rsid w:val="007F52F8"/>
    <w:rsid w:val="007F6855"/>
    <w:rsid w:val="007F694E"/>
    <w:rsid w:val="007F6953"/>
    <w:rsid w:val="0080021D"/>
    <w:rsid w:val="00800518"/>
    <w:rsid w:val="0080298E"/>
    <w:rsid w:val="00803AD1"/>
    <w:rsid w:val="0080410E"/>
    <w:rsid w:val="00804176"/>
    <w:rsid w:val="00804BCB"/>
    <w:rsid w:val="00805CE2"/>
    <w:rsid w:val="0080741A"/>
    <w:rsid w:val="008076F2"/>
    <w:rsid w:val="00807DB0"/>
    <w:rsid w:val="00810BEF"/>
    <w:rsid w:val="0081130C"/>
    <w:rsid w:val="0081190C"/>
    <w:rsid w:val="008124D3"/>
    <w:rsid w:val="0081365D"/>
    <w:rsid w:val="008160E6"/>
    <w:rsid w:val="008163AC"/>
    <w:rsid w:val="008179DB"/>
    <w:rsid w:val="00820156"/>
    <w:rsid w:val="00821357"/>
    <w:rsid w:val="008214E2"/>
    <w:rsid w:val="00822A35"/>
    <w:rsid w:val="008235C9"/>
    <w:rsid w:val="008242AB"/>
    <w:rsid w:val="00824AD0"/>
    <w:rsid w:val="008258D9"/>
    <w:rsid w:val="00825FA2"/>
    <w:rsid w:val="008260D1"/>
    <w:rsid w:val="008263EE"/>
    <w:rsid w:val="008278D5"/>
    <w:rsid w:val="0083021D"/>
    <w:rsid w:val="00830DF2"/>
    <w:rsid w:val="00833B64"/>
    <w:rsid w:val="00834A72"/>
    <w:rsid w:val="00836D48"/>
    <w:rsid w:val="00836E26"/>
    <w:rsid w:val="008409FB"/>
    <w:rsid w:val="008412F0"/>
    <w:rsid w:val="00841FEA"/>
    <w:rsid w:val="00842258"/>
    <w:rsid w:val="0084261D"/>
    <w:rsid w:val="008435BF"/>
    <w:rsid w:val="008436A7"/>
    <w:rsid w:val="00843771"/>
    <w:rsid w:val="00845288"/>
    <w:rsid w:val="008454A0"/>
    <w:rsid w:val="00845521"/>
    <w:rsid w:val="008462D4"/>
    <w:rsid w:val="00846666"/>
    <w:rsid w:val="008500AD"/>
    <w:rsid w:val="008506BE"/>
    <w:rsid w:val="00850924"/>
    <w:rsid w:val="008513BB"/>
    <w:rsid w:val="00854585"/>
    <w:rsid w:val="00854E52"/>
    <w:rsid w:val="00855433"/>
    <w:rsid w:val="008556A1"/>
    <w:rsid w:val="00855AC3"/>
    <w:rsid w:val="00855C52"/>
    <w:rsid w:val="0085608C"/>
    <w:rsid w:val="008562F7"/>
    <w:rsid w:val="00856382"/>
    <w:rsid w:val="0085664F"/>
    <w:rsid w:val="00856CD0"/>
    <w:rsid w:val="00857BE5"/>
    <w:rsid w:val="00861E71"/>
    <w:rsid w:val="00863248"/>
    <w:rsid w:val="008632A4"/>
    <w:rsid w:val="0086354C"/>
    <w:rsid w:val="008638F1"/>
    <w:rsid w:val="00863A87"/>
    <w:rsid w:val="00863DE6"/>
    <w:rsid w:val="00864672"/>
    <w:rsid w:val="00864743"/>
    <w:rsid w:val="00865721"/>
    <w:rsid w:val="008670BB"/>
    <w:rsid w:val="00870862"/>
    <w:rsid w:val="008719F6"/>
    <w:rsid w:val="00872403"/>
    <w:rsid w:val="00872BEA"/>
    <w:rsid w:val="00872DE7"/>
    <w:rsid w:val="00872F29"/>
    <w:rsid w:val="00873084"/>
    <w:rsid w:val="008732D9"/>
    <w:rsid w:val="00873B18"/>
    <w:rsid w:val="00873B9F"/>
    <w:rsid w:val="00874880"/>
    <w:rsid w:val="00874A22"/>
    <w:rsid w:val="00874C21"/>
    <w:rsid w:val="00875E09"/>
    <w:rsid w:val="00876D5B"/>
    <w:rsid w:val="00877539"/>
    <w:rsid w:val="0087764F"/>
    <w:rsid w:val="00880F12"/>
    <w:rsid w:val="00880F51"/>
    <w:rsid w:val="00881F9A"/>
    <w:rsid w:val="00883E42"/>
    <w:rsid w:val="0088459C"/>
    <w:rsid w:val="00884DCD"/>
    <w:rsid w:val="00885A18"/>
    <w:rsid w:val="00885A9B"/>
    <w:rsid w:val="00885F6A"/>
    <w:rsid w:val="00886346"/>
    <w:rsid w:val="00887401"/>
    <w:rsid w:val="008875C3"/>
    <w:rsid w:val="00890656"/>
    <w:rsid w:val="00890EB8"/>
    <w:rsid w:val="00891D85"/>
    <w:rsid w:val="008920B2"/>
    <w:rsid w:val="0089274C"/>
    <w:rsid w:val="0089300B"/>
    <w:rsid w:val="00893749"/>
    <w:rsid w:val="00893BF1"/>
    <w:rsid w:val="008940BF"/>
    <w:rsid w:val="00894FD7"/>
    <w:rsid w:val="008956F5"/>
    <w:rsid w:val="008979F6"/>
    <w:rsid w:val="00897DB3"/>
    <w:rsid w:val="008A0262"/>
    <w:rsid w:val="008A1655"/>
    <w:rsid w:val="008A21F9"/>
    <w:rsid w:val="008A269B"/>
    <w:rsid w:val="008A345B"/>
    <w:rsid w:val="008A5B4F"/>
    <w:rsid w:val="008B022E"/>
    <w:rsid w:val="008B0DF0"/>
    <w:rsid w:val="008B2311"/>
    <w:rsid w:val="008B2B17"/>
    <w:rsid w:val="008B2B60"/>
    <w:rsid w:val="008B422F"/>
    <w:rsid w:val="008B42E7"/>
    <w:rsid w:val="008B4397"/>
    <w:rsid w:val="008B47EA"/>
    <w:rsid w:val="008B4CFE"/>
    <w:rsid w:val="008B5231"/>
    <w:rsid w:val="008B6010"/>
    <w:rsid w:val="008B6F27"/>
    <w:rsid w:val="008B796A"/>
    <w:rsid w:val="008B7F0E"/>
    <w:rsid w:val="008C06D4"/>
    <w:rsid w:val="008C083D"/>
    <w:rsid w:val="008C1C39"/>
    <w:rsid w:val="008C1D43"/>
    <w:rsid w:val="008C207D"/>
    <w:rsid w:val="008C24C2"/>
    <w:rsid w:val="008C265F"/>
    <w:rsid w:val="008C2C1C"/>
    <w:rsid w:val="008C4218"/>
    <w:rsid w:val="008C46EC"/>
    <w:rsid w:val="008C582F"/>
    <w:rsid w:val="008C5915"/>
    <w:rsid w:val="008C6BE3"/>
    <w:rsid w:val="008C6FBA"/>
    <w:rsid w:val="008C7247"/>
    <w:rsid w:val="008D0994"/>
    <w:rsid w:val="008D0DE9"/>
    <w:rsid w:val="008D1256"/>
    <w:rsid w:val="008D1784"/>
    <w:rsid w:val="008D1AB2"/>
    <w:rsid w:val="008D318A"/>
    <w:rsid w:val="008D77E0"/>
    <w:rsid w:val="008D7891"/>
    <w:rsid w:val="008E0AF0"/>
    <w:rsid w:val="008E1086"/>
    <w:rsid w:val="008E1F10"/>
    <w:rsid w:val="008E350B"/>
    <w:rsid w:val="008E3777"/>
    <w:rsid w:val="008E383B"/>
    <w:rsid w:val="008E3E39"/>
    <w:rsid w:val="008E50A1"/>
    <w:rsid w:val="008E6091"/>
    <w:rsid w:val="008F020F"/>
    <w:rsid w:val="008F03C0"/>
    <w:rsid w:val="008F0E45"/>
    <w:rsid w:val="008F3978"/>
    <w:rsid w:val="008F3A35"/>
    <w:rsid w:val="008F541F"/>
    <w:rsid w:val="00900D1A"/>
    <w:rsid w:val="0090251A"/>
    <w:rsid w:val="00902F30"/>
    <w:rsid w:val="0090413A"/>
    <w:rsid w:val="009044FD"/>
    <w:rsid w:val="009048CA"/>
    <w:rsid w:val="00904E06"/>
    <w:rsid w:val="0090590D"/>
    <w:rsid w:val="00905C64"/>
    <w:rsid w:val="0090736C"/>
    <w:rsid w:val="00910179"/>
    <w:rsid w:val="0091090C"/>
    <w:rsid w:val="00911436"/>
    <w:rsid w:val="00911755"/>
    <w:rsid w:val="00911927"/>
    <w:rsid w:val="00912BC2"/>
    <w:rsid w:val="00914249"/>
    <w:rsid w:val="00914328"/>
    <w:rsid w:val="009144D6"/>
    <w:rsid w:val="0091453E"/>
    <w:rsid w:val="00915ADA"/>
    <w:rsid w:val="00920F62"/>
    <w:rsid w:val="0092116E"/>
    <w:rsid w:val="0092211C"/>
    <w:rsid w:val="00922E66"/>
    <w:rsid w:val="0092403F"/>
    <w:rsid w:val="0092440C"/>
    <w:rsid w:val="009246D3"/>
    <w:rsid w:val="00925F70"/>
    <w:rsid w:val="009261F4"/>
    <w:rsid w:val="00926CEE"/>
    <w:rsid w:val="00926D2D"/>
    <w:rsid w:val="00926D4A"/>
    <w:rsid w:val="009273AA"/>
    <w:rsid w:val="009277DE"/>
    <w:rsid w:val="00930648"/>
    <w:rsid w:val="009306E6"/>
    <w:rsid w:val="00930AD7"/>
    <w:rsid w:val="009311F2"/>
    <w:rsid w:val="00932034"/>
    <w:rsid w:val="0093226D"/>
    <w:rsid w:val="009332C4"/>
    <w:rsid w:val="009335AB"/>
    <w:rsid w:val="00933E52"/>
    <w:rsid w:val="009342C8"/>
    <w:rsid w:val="009356E6"/>
    <w:rsid w:val="009358AF"/>
    <w:rsid w:val="009377A9"/>
    <w:rsid w:val="00941F71"/>
    <w:rsid w:val="00942602"/>
    <w:rsid w:val="00943FB1"/>
    <w:rsid w:val="00946339"/>
    <w:rsid w:val="00946AEF"/>
    <w:rsid w:val="00946D19"/>
    <w:rsid w:val="00947EA6"/>
    <w:rsid w:val="00950EB1"/>
    <w:rsid w:val="009511A4"/>
    <w:rsid w:val="009519E1"/>
    <w:rsid w:val="009519E7"/>
    <w:rsid w:val="0095294E"/>
    <w:rsid w:val="00953CED"/>
    <w:rsid w:val="009555AC"/>
    <w:rsid w:val="00957366"/>
    <w:rsid w:val="00957E3E"/>
    <w:rsid w:val="009621A0"/>
    <w:rsid w:val="009633AA"/>
    <w:rsid w:val="00963CC3"/>
    <w:rsid w:val="00963D24"/>
    <w:rsid w:val="009643E9"/>
    <w:rsid w:val="00964536"/>
    <w:rsid w:val="00965C22"/>
    <w:rsid w:val="00967F0E"/>
    <w:rsid w:val="009716AA"/>
    <w:rsid w:val="00971CFE"/>
    <w:rsid w:val="00972726"/>
    <w:rsid w:val="0097320D"/>
    <w:rsid w:val="00973A57"/>
    <w:rsid w:val="00973F07"/>
    <w:rsid w:val="009746A1"/>
    <w:rsid w:val="00974C66"/>
    <w:rsid w:val="00976483"/>
    <w:rsid w:val="00976D2B"/>
    <w:rsid w:val="00977572"/>
    <w:rsid w:val="00980BCA"/>
    <w:rsid w:val="00982FDB"/>
    <w:rsid w:val="00982FF0"/>
    <w:rsid w:val="009846F2"/>
    <w:rsid w:val="00984EB0"/>
    <w:rsid w:val="00985798"/>
    <w:rsid w:val="00985CC7"/>
    <w:rsid w:val="00985FD2"/>
    <w:rsid w:val="0098714B"/>
    <w:rsid w:val="009871DC"/>
    <w:rsid w:val="00990AD6"/>
    <w:rsid w:val="009911BD"/>
    <w:rsid w:val="009911C7"/>
    <w:rsid w:val="009917EB"/>
    <w:rsid w:val="00992398"/>
    <w:rsid w:val="00993E7D"/>
    <w:rsid w:val="009941D3"/>
    <w:rsid w:val="0099428B"/>
    <w:rsid w:val="00996952"/>
    <w:rsid w:val="0099747C"/>
    <w:rsid w:val="009A2268"/>
    <w:rsid w:val="009A2B4D"/>
    <w:rsid w:val="009A3AC1"/>
    <w:rsid w:val="009A3BE5"/>
    <w:rsid w:val="009A4081"/>
    <w:rsid w:val="009A55AB"/>
    <w:rsid w:val="009A5FA3"/>
    <w:rsid w:val="009A73C7"/>
    <w:rsid w:val="009A7F3B"/>
    <w:rsid w:val="009B0C7A"/>
    <w:rsid w:val="009B19E2"/>
    <w:rsid w:val="009B23FC"/>
    <w:rsid w:val="009B26EC"/>
    <w:rsid w:val="009B29D5"/>
    <w:rsid w:val="009B2BEC"/>
    <w:rsid w:val="009B3178"/>
    <w:rsid w:val="009B5073"/>
    <w:rsid w:val="009B5619"/>
    <w:rsid w:val="009B59CF"/>
    <w:rsid w:val="009B7377"/>
    <w:rsid w:val="009C00FD"/>
    <w:rsid w:val="009C04B7"/>
    <w:rsid w:val="009C1838"/>
    <w:rsid w:val="009C20A2"/>
    <w:rsid w:val="009C2332"/>
    <w:rsid w:val="009C35EA"/>
    <w:rsid w:val="009C3E63"/>
    <w:rsid w:val="009C4C47"/>
    <w:rsid w:val="009C62A4"/>
    <w:rsid w:val="009C6309"/>
    <w:rsid w:val="009C7EAF"/>
    <w:rsid w:val="009D047F"/>
    <w:rsid w:val="009D137E"/>
    <w:rsid w:val="009D14B2"/>
    <w:rsid w:val="009D1637"/>
    <w:rsid w:val="009D17D1"/>
    <w:rsid w:val="009D2557"/>
    <w:rsid w:val="009D258A"/>
    <w:rsid w:val="009D3AD1"/>
    <w:rsid w:val="009D41D2"/>
    <w:rsid w:val="009D63EA"/>
    <w:rsid w:val="009D7267"/>
    <w:rsid w:val="009D7719"/>
    <w:rsid w:val="009D7B05"/>
    <w:rsid w:val="009E0805"/>
    <w:rsid w:val="009E128D"/>
    <w:rsid w:val="009E1864"/>
    <w:rsid w:val="009E1891"/>
    <w:rsid w:val="009E3528"/>
    <w:rsid w:val="009E3FBE"/>
    <w:rsid w:val="009E4C19"/>
    <w:rsid w:val="009E6298"/>
    <w:rsid w:val="009E62A7"/>
    <w:rsid w:val="009E7570"/>
    <w:rsid w:val="009E7C4E"/>
    <w:rsid w:val="009F04DA"/>
    <w:rsid w:val="009F14AC"/>
    <w:rsid w:val="009F379D"/>
    <w:rsid w:val="009F3D71"/>
    <w:rsid w:val="009F4BB3"/>
    <w:rsid w:val="009F660E"/>
    <w:rsid w:val="009F6C5B"/>
    <w:rsid w:val="009F7D59"/>
    <w:rsid w:val="00A01CDB"/>
    <w:rsid w:val="00A022EF"/>
    <w:rsid w:val="00A03443"/>
    <w:rsid w:val="00A04B03"/>
    <w:rsid w:val="00A0688C"/>
    <w:rsid w:val="00A1067B"/>
    <w:rsid w:val="00A10D98"/>
    <w:rsid w:val="00A10DFF"/>
    <w:rsid w:val="00A11013"/>
    <w:rsid w:val="00A11D9D"/>
    <w:rsid w:val="00A1209F"/>
    <w:rsid w:val="00A12883"/>
    <w:rsid w:val="00A13E50"/>
    <w:rsid w:val="00A143A8"/>
    <w:rsid w:val="00A14696"/>
    <w:rsid w:val="00A15316"/>
    <w:rsid w:val="00A156F1"/>
    <w:rsid w:val="00A15791"/>
    <w:rsid w:val="00A15CAF"/>
    <w:rsid w:val="00A16B1B"/>
    <w:rsid w:val="00A177FF"/>
    <w:rsid w:val="00A17A87"/>
    <w:rsid w:val="00A20D8A"/>
    <w:rsid w:val="00A20F69"/>
    <w:rsid w:val="00A2172C"/>
    <w:rsid w:val="00A21972"/>
    <w:rsid w:val="00A226CA"/>
    <w:rsid w:val="00A228F1"/>
    <w:rsid w:val="00A22B17"/>
    <w:rsid w:val="00A22B1D"/>
    <w:rsid w:val="00A24E19"/>
    <w:rsid w:val="00A25033"/>
    <w:rsid w:val="00A262EB"/>
    <w:rsid w:val="00A26579"/>
    <w:rsid w:val="00A309AD"/>
    <w:rsid w:val="00A31A39"/>
    <w:rsid w:val="00A31E2C"/>
    <w:rsid w:val="00A322EE"/>
    <w:rsid w:val="00A32D32"/>
    <w:rsid w:val="00A33D0C"/>
    <w:rsid w:val="00A33FDB"/>
    <w:rsid w:val="00A34AB1"/>
    <w:rsid w:val="00A35F9D"/>
    <w:rsid w:val="00A36542"/>
    <w:rsid w:val="00A379E0"/>
    <w:rsid w:val="00A40B1D"/>
    <w:rsid w:val="00A412EE"/>
    <w:rsid w:val="00A41DA8"/>
    <w:rsid w:val="00A42841"/>
    <w:rsid w:val="00A44B2C"/>
    <w:rsid w:val="00A451A7"/>
    <w:rsid w:val="00A47885"/>
    <w:rsid w:val="00A51F13"/>
    <w:rsid w:val="00A52309"/>
    <w:rsid w:val="00A525B5"/>
    <w:rsid w:val="00A52DA7"/>
    <w:rsid w:val="00A52F82"/>
    <w:rsid w:val="00A53B7D"/>
    <w:rsid w:val="00A53E79"/>
    <w:rsid w:val="00A56E86"/>
    <w:rsid w:val="00A57553"/>
    <w:rsid w:val="00A57755"/>
    <w:rsid w:val="00A57785"/>
    <w:rsid w:val="00A6077D"/>
    <w:rsid w:val="00A60D79"/>
    <w:rsid w:val="00A61432"/>
    <w:rsid w:val="00A616A3"/>
    <w:rsid w:val="00A61AC1"/>
    <w:rsid w:val="00A62A56"/>
    <w:rsid w:val="00A65165"/>
    <w:rsid w:val="00A651EF"/>
    <w:rsid w:val="00A67453"/>
    <w:rsid w:val="00A71059"/>
    <w:rsid w:val="00A71109"/>
    <w:rsid w:val="00A71FA4"/>
    <w:rsid w:val="00A74A63"/>
    <w:rsid w:val="00A77A80"/>
    <w:rsid w:val="00A77D3F"/>
    <w:rsid w:val="00A80449"/>
    <w:rsid w:val="00A81533"/>
    <w:rsid w:val="00A82A68"/>
    <w:rsid w:val="00A8358F"/>
    <w:rsid w:val="00A83685"/>
    <w:rsid w:val="00A83D03"/>
    <w:rsid w:val="00A8433F"/>
    <w:rsid w:val="00A84EF1"/>
    <w:rsid w:val="00A863BE"/>
    <w:rsid w:val="00A90361"/>
    <w:rsid w:val="00A909C0"/>
    <w:rsid w:val="00A91D58"/>
    <w:rsid w:val="00A92A1A"/>
    <w:rsid w:val="00A92D37"/>
    <w:rsid w:val="00A932A2"/>
    <w:rsid w:val="00A93BE4"/>
    <w:rsid w:val="00A942E9"/>
    <w:rsid w:val="00A94A0D"/>
    <w:rsid w:val="00A95D76"/>
    <w:rsid w:val="00A9730D"/>
    <w:rsid w:val="00A97606"/>
    <w:rsid w:val="00A97BA1"/>
    <w:rsid w:val="00A97EC9"/>
    <w:rsid w:val="00AA0020"/>
    <w:rsid w:val="00AA0834"/>
    <w:rsid w:val="00AA0922"/>
    <w:rsid w:val="00AA2173"/>
    <w:rsid w:val="00AA28FE"/>
    <w:rsid w:val="00AA36BE"/>
    <w:rsid w:val="00AA3F8B"/>
    <w:rsid w:val="00AA4233"/>
    <w:rsid w:val="00AA5E08"/>
    <w:rsid w:val="00AA7A95"/>
    <w:rsid w:val="00AB0058"/>
    <w:rsid w:val="00AB04DE"/>
    <w:rsid w:val="00AB2EE3"/>
    <w:rsid w:val="00AB3C21"/>
    <w:rsid w:val="00AB4C04"/>
    <w:rsid w:val="00AB5478"/>
    <w:rsid w:val="00AB5DEE"/>
    <w:rsid w:val="00AB6223"/>
    <w:rsid w:val="00AB7643"/>
    <w:rsid w:val="00AB7710"/>
    <w:rsid w:val="00AB7B21"/>
    <w:rsid w:val="00AC167C"/>
    <w:rsid w:val="00AC182F"/>
    <w:rsid w:val="00AC211C"/>
    <w:rsid w:val="00AC2503"/>
    <w:rsid w:val="00AC26AD"/>
    <w:rsid w:val="00AC2958"/>
    <w:rsid w:val="00AC4465"/>
    <w:rsid w:val="00AC6515"/>
    <w:rsid w:val="00AC7D22"/>
    <w:rsid w:val="00AD12BF"/>
    <w:rsid w:val="00AD1413"/>
    <w:rsid w:val="00AD23E7"/>
    <w:rsid w:val="00AD2628"/>
    <w:rsid w:val="00AD2D81"/>
    <w:rsid w:val="00AD2E0E"/>
    <w:rsid w:val="00AD3AF5"/>
    <w:rsid w:val="00AD4E62"/>
    <w:rsid w:val="00AD59DE"/>
    <w:rsid w:val="00AD5FFA"/>
    <w:rsid w:val="00AD7A15"/>
    <w:rsid w:val="00AE1F46"/>
    <w:rsid w:val="00AE2A1A"/>
    <w:rsid w:val="00AE48AD"/>
    <w:rsid w:val="00AE6A51"/>
    <w:rsid w:val="00AE7CDB"/>
    <w:rsid w:val="00AE7ED9"/>
    <w:rsid w:val="00AF0418"/>
    <w:rsid w:val="00AF3C57"/>
    <w:rsid w:val="00AF469C"/>
    <w:rsid w:val="00AF5036"/>
    <w:rsid w:val="00AF5674"/>
    <w:rsid w:val="00AF64B0"/>
    <w:rsid w:val="00AF6CF0"/>
    <w:rsid w:val="00B00714"/>
    <w:rsid w:val="00B0224F"/>
    <w:rsid w:val="00B02C0E"/>
    <w:rsid w:val="00B02D45"/>
    <w:rsid w:val="00B03A66"/>
    <w:rsid w:val="00B03C4D"/>
    <w:rsid w:val="00B05456"/>
    <w:rsid w:val="00B06215"/>
    <w:rsid w:val="00B065CC"/>
    <w:rsid w:val="00B06D68"/>
    <w:rsid w:val="00B06E5A"/>
    <w:rsid w:val="00B06F3E"/>
    <w:rsid w:val="00B07573"/>
    <w:rsid w:val="00B07704"/>
    <w:rsid w:val="00B0778D"/>
    <w:rsid w:val="00B107D0"/>
    <w:rsid w:val="00B1198C"/>
    <w:rsid w:val="00B11999"/>
    <w:rsid w:val="00B13471"/>
    <w:rsid w:val="00B15146"/>
    <w:rsid w:val="00B15E18"/>
    <w:rsid w:val="00B172B2"/>
    <w:rsid w:val="00B203C5"/>
    <w:rsid w:val="00B22115"/>
    <w:rsid w:val="00B22EC5"/>
    <w:rsid w:val="00B2442C"/>
    <w:rsid w:val="00B25BDD"/>
    <w:rsid w:val="00B25F8A"/>
    <w:rsid w:val="00B27895"/>
    <w:rsid w:val="00B300F9"/>
    <w:rsid w:val="00B3041A"/>
    <w:rsid w:val="00B30FCE"/>
    <w:rsid w:val="00B32307"/>
    <w:rsid w:val="00B33492"/>
    <w:rsid w:val="00B34437"/>
    <w:rsid w:val="00B3449E"/>
    <w:rsid w:val="00B34B3C"/>
    <w:rsid w:val="00B362EC"/>
    <w:rsid w:val="00B37082"/>
    <w:rsid w:val="00B371B1"/>
    <w:rsid w:val="00B3795B"/>
    <w:rsid w:val="00B410EC"/>
    <w:rsid w:val="00B43583"/>
    <w:rsid w:val="00B43A01"/>
    <w:rsid w:val="00B44733"/>
    <w:rsid w:val="00B44813"/>
    <w:rsid w:val="00B45C85"/>
    <w:rsid w:val="00B46A35"/>
    <w:rsid w:val="00B47755"/>
    <w:rsid w:val="00B5000C"/>
    <w:rsid w:val="00B51CC6"/>
    <w:rsid w:val="00B51F06"/>
    <w:rsid w:val="00B52AFF"/>
    <w:rsid w:val="00B538DA"/>
    <w:rsid w:val="00B5439A"/>
    <w:rsid w:val="00B548EC"/>
    <w:rsid w:val="00B54BE3"/>
    <w:rsid w:val="00B55807"/>
    <w:rsid w:val="00B560CB"/>
    <w:rsid w:val="00B56DCF"/>
    <w:rsid w:val="00B56F01"/>
    <w:rsid w:val="00B577BA"/>
    <w:rsid w:val="00B60566"/>
    <w:rsid w:val="00B61A66"/>
    <w:rsid w:val="00B620FB"/>
    <w:rsid w:val="00B653E7"/>
    <w:rsid w:val="00B6630F"/>
    <w:rsid w:val="00B667B1"/>
    <w:rsid w:val="00B66EC0"/>
    <w:rsid w:val="00B679FC"/>
    <w:rsid w:val="00B7091A"/>
    <w:rsid w:val="00B716CE"/>
    <w:rsid w:val="00B71D3E"/>
    <w:rsid w:val="00B71E72"/>
    <w:rsid w:val="00B7254E"/>
    <w:rsid w:val="00B74685"/>
    <w:rsid w:val="00B74DB2"/>
    <w:rsid w:val="00B75C2A"/>
    <w:rsid w:val="00B764CC"/>
    <w:rsid w:val="00B81D8E"/>
    <w:rsid w:val="00B83C56"/>
    <w:rsid w:val="00B84367"/>
    <w:rsid w:val="00B845B1"/>
    <w:rsid w:val="00B84CB6"/>
    <w:rsid w:val="00B84D8F"/>
    <w:rsid w:val="00B86589"/>
    <w:rsid w:val="00B8783A"/>
    <w:rsid w:val="00B909F4"/>
    <w:rsid w:val="00B90ACE"/>
    <w:rsid w:val="00B93BE9"/>
    <w:rsid w:val="00B947C6"/>
    <w:rsid w:val="00B95881"/>
    <w:rsid w:val="00B95E20"/>
    <w:rsid w:val="00B970A2"/>
    <w:rsid w:val="00B976B5"/>
    <w:rsid w:val="00B976CB"/>
    <w:rsid w:val="00B97A6B"/>
    <w:rsid w:val="00B97B75"/>
    <w:rsid w:val="00B97FA7"/>
    <w:rsid w:val="00BA0FDA"/>
    <w:rsid w:val="00BA1986"/>
    <w:rsid w:val="00BA1D68"/>
    <w:rsid w:val="00BA22D0"/>
    <w:rsid w:val="00BA324E"/>
    <w:rsid w:val="00BA378D"/>
    <w:rsid w:val="00BA3B4D"/>
    <w:rsid w:val="00BA43D3"/>
    <w:rsid w:val="00BA47D6"/>
    <w:rsid w:val="00BA5908"/>
    <w:rsid w:val="00BA67F1"/>
    <w:rsid w:val="00BA7172"/>
    <w:rsid w:val="00BA784F"/>
    <w:rsid w:val="00BA79CE"/>
    <w:rsid w:val="00BB007D"/>
    <w:rsid w:val="00BB094C"/>
    <w:rsid w:val="00BB170F"/>
    <w:rsid w:val="00BB2AB1"/>
    <w:rsid w:val="00BB4419"/>
    <w:rsid w:val="00BB4FA7"/>
    <w:rsid w:val="00BB5F6D"/>
    <w:rsid w:val="00BB791A"/>
    <w:rsid w:val="00BC0134"/>
    <w:rsid w:val="00BC0526"/>
    <w:rsid w:val="00BC0AD5"/>
    <w:rsid w:val="00BC1195"/>
    <w:rsid w:val="00BC2D64"/>
    <w:rsid w:val="00BC4377"/>
    <w:rsid w:val="00BC4877"/>
    <w:rsid w:val="00BC50E0"/>
    <w:rsid w:val="00BC5AF6"/>
    <w:rsid w:val="00BC607B"/>
    <w:rsid w:val="00BC6137"/>
    <w:rsid w:val="00BC6201"/>
    <w:rsid w:val="00BC67A7"/>
    <w:rsid w:val="00BC6F99"/>
    <w:rsid w:val="00BC76E2"/>
    <w:rsid w:val="00BC7866"/>
    <w:rsid w:val="00BC795A"/>
    <w:rsid w:val="00BD0951"/>
    <w:rsid w:val="00BD0FE9"/>
    <w:rsid w:val="00BD19A5"/>
    <w:rsid w:val="00BD1D02"/>
    <w:rsid w:val="00BD2A4C"/>
    <w:rsid w:val="00BD394C"/>
    <w:rsid w:val="00BD4286"/>
    <w:rsid w:val="00BD5653"/>
    <w:rsid w:val="00BD6790"/>
    <w:rsid w:val="00BD6F2C"/>
    <w:rsid w:val="00BD75DA"/>
    <w:rsid w:val="00BE0000"/>
    <w:rsid w:val="00BE1145"/>
    <w:rsid w:val="00BE1B4D"/>
    <w:rsid w:val="00BE2096"/>
    <w:rsid w:val="00BE3527"/>
    <w:rsid w:val="00BE41D0"/>
    <w:rsid w:val="00BE6DA2"/>
    <w:rsid w:val="00BE6FE8"/>
    <w:rsid w:val="00BF01D0"/>
    <w:rsid w:val="00BF0E2B"/>
    <w:rsid w:val="00BF1C57"/>
    <w:rsid w:val="00BF2232"/>
    <w:rsid w:val="00BF2548"/>
    <w:rsid w:val="00BF3590"/>
    <w:rsid w:val="00BF3FA3"/>
    <w:rsid w:val="00BF47EE"/>
    <w:rsid w:val="00BF50ED"/>
    <w:rsid w:val="00BF56F5"/>
    <w:rsid w:val="00BF619B"/>
    <w:rsid w:val="00BF62B6"/>
    <w:rsid w:val="00BF6C64"/>
    <w:rsid w:val="00BF7031"/>
    <w:rsid w:val="00BF72F9"/>
    <w:rsid w:val="00BF7F4E"/>
    <w:rsid w:val="00C00F44"/>
    <w:rsid w:val="00C01704"/>
    <w:rsid w:val="00C019C5"/>
    <w:rsid w:val="00C02335"/>
    <w:rsid w:val="00C023EA"/>
    <w:rsid w:val="00C024D4"/>
    <w:rsid w:val="00C027E7"/>
    <w:rsid w:val="00C048DB"/>
    <w:rsid w:val="00C04BA1"/>
    <w:rsid w:val="00C04EE3"/>
    <w:rsid w:val="00C05AC3"/>
    <w:rsid w:val="00C06181"/>
    <w:rsid w:val="00C07677"/>
    <w:rsid w:val="00C1051A"/>
    <w:rsid w:val="00C10F1C"/>
    <w:rsid w:val="00C12221"/>
    <w:rsid w:val="00C129C6"/>
    <w:rsid w:val="00C12B6A"/>
    <w:rsid w:val="00C1446B"/>
    <w:rsid w:val="00C144B8"/>
    <w:rsid w:val="00C16681"/>
    <w:rsid w:val="00C17A38"/>
    <w:rsid w:val="00C20302"/>
    <w:rsid w:val="00C2097F"/>
    <w:rsid w:val="00C216EA"/>
    <w:rsid w:val="00C21A14"/>
    <w:rsid w:val="00C21F0B"/>
    <w:rsid w:val="00C220E8"/>
    <w:rsid w:val="00C2227B"/>
    <w:rsid w:val="00C22A22"/>
    <w:rsid w:val="00C23232"/>
    <w:rsid w:val="00C23508"/>
    <w:rsid w:val="00C23C87"/>
    <w:rsid w:val="00C24015"/>
    <w:rsid w:val="00C248A5"/>
    <w:rsid w:val="00C26365"/>
    <w:rsid w:val="00C26F80"/>
    <w:rsid w:val="00C275C6"/>
    <w:rsid w:val="00C27A05"/>
    <w:rsid w:val="00C27C70"/>
    <w:rsid w:val="00C30010"/>
    <w:rsid w:val="00C317F2"/>
    <w:rsid w:val="00C32C6C"/>
    <w:rsid w:val="00C336AE"/>
    <w:rsid w:val="00C338C8"/>
    <w:rsid w:val="00C33947"/>
    <w:rsid w:val="00C347F7"/>
    <w:rsid w:val="00C34907"/>
    <w:rsid w:val="00C34AB3"/>
    <w:rsid w:val="00C350C0"/>
    <w:rsid w:val="00C352AF"/>
    <w:rsid w:val="00C363D5"/>
    <w:rsid w:val="00C366EF"/>
    <w:rsid w:val="00C37073"/>
    <w:rsid w:val="00C4021A"/>
    <w:rsid w:val="00C40887"/>
    <w:rsid w:val="00C40D5B"/>
    <w:rsid w:val="00C413EF"/>
    <w:rsid w:val="00C41D8B"/>
    <w:rsid w:val="00C421B6"/>
    <w:rsid w:val="00C427E9"/>
    <w:rsid w:val="00C428E1"/>
    <w:rsid w:val="00C44A72"/>
    <w:rsid w:val="00C44C72"/>
    <w:rsid w:val="00C454A9"/>
    <w:rsid w:val="00C45EFA"/>
    <w:rsid w:val="00C45FDA"/>
    <w:rsid w:val="00C46A49"/>
    <w:rsid w:val="00C4709F"/>
    <w:rsid w:val="00C470C3"/>
    <w:rsid w:val="00C47F39"/>
    <w:rsid w:val="00C50884"/>
    <w:rsid w:val="00C5199E"/>
    <w:rsid w:val="00C51C4F"/>
    <w:rsid w:val="00C51D4A"/>
    <w:rsid w:val="00C528CC"/>
    <w:rsid w:val="00C52A53"/>
    <w:rsid w:val="00C54DD5"/>
    <w:rsid w:val="00C551FD"/>
    <w:rsid w:val="00C56C52"/>
    <w:rsid w:val="00C57989"/>
    <w:rsid w:val="00C615C7"/>
    <w:rsid w:val="00C6196D"/>
    <w:rsid w:val="00C6231F"/>
    <w:rsid w:val="00C630F0"/>
    <w:rsid w:val="00C63AA4"/>
    <w:rsid w:val="00C63E0A"/>
    <w:rsid w:val="00C6539D"/>
    <w:rsid w:val="00C65EE1"/>
    <w:rsid w:val="00C66AC5"/>
    <w:rsid w:val="00C66BFF"/>
    <w:rsid w:val="00C66CBF"/>
    <w:rsid w:val="00C6751F"/>
    <w:rsid w:val="00C6765B"/>
    <w:rsid w:val="00C70FD7"/>
    <w:rsid w:val="00C71A6C"/>
    <w:rsid w:val="00C720D5"/>
    <w:rsid w:val="00C7300F"/>
    <w:rsid w:val="00C7482A"/>
    <w:rsid w:val="00C74DDE"/>
    <w:rsid w:val="00C762FE"/>
    <w:rsid w:val="00C7631E"/>
    <w:rsid w:val="00C7644D"/>
    <w:rsid w:val="00C769D7"/>
    <w:rsid w:val="00C76F0C"/>
    <w:rsid w:val="00C7785B"/>
    <w:rsid w:val="00C81718"/>
    <w:rsid w:val="00C81A73"/>
    <w:rsid w:val="00C82FCE"/>
    <w:rsid w:val="00C83A21"/>
    <w:rsid w:val="00C8414E"/>
    <w:rsid w:val="00C84C02"/>
    <w:rsid w:val="00C84FF6"/>
    <w:rsid w:val="00C854A4"/>
    <w:rsid w:val="00C874C5"/>
    <w:rsid w:val="00C914CB"/>
    <w:rsid w:val="00C91736"/>
    <w:rsid w:val="00C92ADD"/>
    <w:rsid w:val="00C93952"/>
    <w:rsid w:val="00C93E1C"/>
    <w:rsid w:val="00C94700"/>
    <w:rsid w:val="00C95235"/>
    <w:rsid w:val="00C96454"/>
    <w:rsid w:val="00C96A61"/>
    <w:rsid w:val="00C97543"/>
    <w:rsid w:val="00C97D42"/>
    <w:rsid w:val="00CA0F5F"/>
    <w:rsid w:val="00CA3FE7"/>
    <w:rsid w:val="00CA4592"/>
    <w:rsid w:val="00CA461B"/>
    <w:rsid w:val="00CA489E"/>
    <w:rsid w:val="00CA49B9"/>
    <w:rsid w:val="00CA6C65"/>
    <w:rsid w:val="00CA7772"/>
    <w:rsid w:val="00CB0457"/>
    <w:rsid w:val="00CB0600"/>
    <w:rsid w:val="00CB1392"/>
    <w:rsid w:val="00CB226D"/>
    <w:rsid w:val="00CB3E3B"/>
    <w:rsid w:val="00CB4C83"/>
    <w:rsid w:val="00CB57D6"/>
    <w:rsid w:val="00CB69F0"/>
    <w:rsid w:val="00CC0763"/>
    <w:rsid w:val="00CC0D3D"/>
    <w:rsid w:val="00CC0E18"/>
    <w:rsid w:val="00CC2267"/>
    <w:rsid w:val="00CC23E5"/>
    <w:rsid w:val="00CC2DE5"/>
    <w:rsid w:val="00CC3990"/>
    <w:rsid w:val="00CC45A9"/>
    <w:rsid w:val="00CC4FA2"/>
    <w:rsid w:val="00CC5C72"/>
    <w:rsid w:val="00CC5D4A"/>
    <w:rsid w:val="00CC5ED5"/>
    <w:rsid w:val="00CC6609"/>
    <w:rsid w:val="00CC6E77"/>
    <w:rsid w:val="00CC7BBA"/>
    <w:rsid w:val="00CD02A4"/>
    <w:rsid w:val="00CD056B"/>
    <w:rsid w:val="00CD0C6B"/>
    <w:rsid w:val="00CD2A82"/>
    <w:rsid w:val="00CD511E"/>
    <w:rsid w:val="00CD53ED"/>
    <w:rsid w:val="00CD6472"/>
    <w:rsid w:val="00CD69A9"/>
    <w:rsid w:val="00CD7AA2"/>
    <w:rsid w:val="00CE2E02"/>
    <w:rsid w:val="00CE40CF"/>
    <w:rsid w:val="00CE61DD"/>
    <w:rsid w:val="00CE6EBD"/>
    <w:rsid w:val="00CE709C"/>
    <w:rsid w:val="00CE7E75"/>
    <w:rsid w:val="00CE7FD8"/>
    <w:rsid w:val="00CF052A"/>
    <w:rsid w:val="00CF09A2"/>
    <w:rsid w:val="00CF0B62"/>
    <w:rsid w:val="00CF1718"/>
    <w:rsid w:val="00CF1AC5"/>
    <w:rsid w:val="00CF344D"/>
    <w:rsid w:val="00CF463D"/>
    <w:rsid w:val="00CF4767"/>
    <w:rsid w:val="00CF575C"/>
    <w:rsid w:val="00CF7397"/>
    <w:rsid w:val="00D006E3"/>
    <w:rsid w:val="00D00BBF"/>
    <w:rsid w:val="00D00E9B"/>
    <w:rsid w:val="00D00FF7"/>
    <w:rsid w:val="00D0393A"/>
    <w:rsid w:val="00D04EF2"/>
    <w:rsid w:val="00D05533"/>
    <w:rsid w:val="00D06498"/>
    <w:rsid w:val="00D06B46"/>
    <w:rsid w:val="00D07FDC"/>
    <w:rsid w:val="00D10BF0"/>
    <w:rsid w:val="00D1136B"/>
    <w:rsid w:val="00D133C8"/>
    <w:rsid w:val="00D137A0"/>
    <w:rsid w:val="00D16324"/>
    <w:rsid w:val="00D1633A"/>
    <w:rsid w:val="00D17FEC"/>
    <w:rsid w:val="00D20315"/>
    <w:rsid w:val="00D2033C"/>
    <w:rsid w:val="00D20400"/>
    <w:rsid w:val="00D207A8"/>
    <w:rsid w:val="00D20D85"/>
    <w:rsid w:val="00D210B4"/>
    <w:rsid w:val="00D2358E"/>
    <w:rsid w:val="00D23F94"/>
    <w:rsid w:val="00D23FE1"/>
    <w:rsid w:val="00D24447"/>
    <w:rsid w:val="00D249AA"/>
    <w:rsid w:val="00D25224"/>
    <w:rsid w:val="00D255D7"/>
    <w:rsid w:val="00D258DA"/>
    <w:rsid w:val="00D26858"/>
    <w:rsid w:val="00D26CC5"/>
    <w:rsid w:val="00D308F2"/>
    <w:rsid w:val="00D31EF8"/>
    <w:rsid w:val="00D331C0"/>
    <w:rsid w:val="00D33460"/>
    <w:rsid w:val="00D341A5"/>
    <w:rsid w:val="00D3427C"/>
    <w:rsid w:val="00D34C7A"/>
    <w:rsid w:val="00D355B1"/>
    <w:rsid w:val="00D35C82"/>
    <w:rsid w:val="00D35EDF"/>
    <w:rsid w:val="00D36DF7"/>
    <w:rsid w:val="00D372E1"/>
    <w:rsid w:val="00D3761F"/>
    <w:rsid w:val="00D40B53"/>
    <w:rsid w:val="00D440D9"/>
    <w:rsid w:val="00D466E7"/>
    <w:rsid w:val="00D46995"/>
    <w:rsid w:val="00D46DCC"/>
    <w:rsid w:val="00D46FD0"/>
    <w:rsid w:val="00D473BD"/>
    <w:rsid w:val="00D500DB"/>
    <w:rsid w:val="00D50B52"/>
    <w:rsid w:val="00D512DD"/>
    <w:rsid w:val="00D51EAE"/>
    <w:rsid w:val="00D5254E"/>
    <w:rsid w:val="00D545B9"/>
    <w:rsid w:val="00D54F38"/>
    <w:rsid w:val="00D55950"/>
    <w:rsid w:val="00D55B5B"/>
    <w:rsid w:val="00D57CB2"/>
    <w:rsid w:val="00D60C41"/>
    <w:rsid w:val="00D6296D"/>
    <w:rsid w:val="00D62FE9"/>
    <w:rsid w:val="00D63184"/>
    <w:rsid w:val="00D63A3D"/>
    <w:rsid w:val="00D63FCC"/>
    <w:rsid w:val="00D64267"/>
    <w:rsid w:val="00D64DD3"/>
    <w:rsid w:val="00D65185"/>
    <w:rsid w:val="00D65560"/>
    <w:rsid w:val="00D65579"/>
    <w:rsid w:val="00D66D32"/>
    <w:rsid w:val="00D66E86"/>
    <w:rsid w:val="00D70C03"/>
    <w:rsid w:val="00D70E24"/>
    <w:rsid w:val="00D71133"/>
    <w:rsid w:val="00D711CA"/>
    <w:rsid w:val="00D71D74"/>
    <w:rsid w:val="00D73B0B"/>
    <w:rsid w:val="00D74228"/>
    <w:rsid w:val="00D74D5D"/>
    <w:rsid w:val="00D75750"/>
    <w:rsid w:val="00D77540"/>
    <w:rsid w:val="00D77C0E"/>
    <w:rsid w:val="00D810FB"/>
    <w:rsid w:val="00D8278C"/>
    <w:rsid w:val="00D82F75"/>
    <w:rsid w:val="00D84AA6"/>
    <w:rsid w:val="00D852EB"/>
    <w:rsid w:val="00D86402"/>
    <w:rsid w:val="00D86FB9"/>
    <w:rsid w:val="00D9041A"/>
    <w:rsid w:val="00D910E9"/>
    <w:rsid w:val="00D91865"/>
    <w:rsid w:val="00D91C82"/>
    <w:rsid w:val="00D91D90"/>
    <w:rsid w:val="00D92BCC"/>
    <w:rsid w:val="00D93A75"/>
    <w:rsid w:val="00D95587"/>
    <w:rsid w:val="00D958FB"/>
    <w:rsid w:val="00D95A38"/>
    <w:rsid w:val="00D95AD9"/>
    <w:rsid w:val="00D960EA"/>
    <w:rsid w:val="00D961FE"/>
    <w:rsid w:val="00D969F0"/>
    <w:rsid w:val="00D96D45"/>
    <w:rsid w:val="00D96D74"/>
    <w:rsid w:val="00D97462"/>
    <w:rsid w:val="00D97EAD"/>
    <w:rsid w:val="00DA079F"/>
    <w:rsid w:val="00DA1373"/>
    <w:rsid w:val="00DA2EE9"/>
    <w:rsid w:val="00DA4876"/>
    <w:rsid w:val="00DA66DE"/>
    <w:rsid w:val="00DA6DFD"/>
    <w:rsid w:val="00DA78B8"/>
    <w:rsid w:val="00DB04A6"/>
    <w:rsid w:val="00DB080D"/>
    <w:rsid w:val="00DB0D83"/>
    <w:rsid w:val="00DB2012"/>
    <w:rsid w:val="00DB2598"/>
    <w:rsid w:val="00DB2E87"/>
    <w:rsid w:val="00DB3E7E"/>
    <w:rsid w:val="00DC033C"/>
    <w:rsid w:val="00DC1299"/>
    <w:rsid w:val="00DC1570"/>
    <w:rsid w:val="00DC2CAC"/>
    <w:rsid w:val="00DC3520"/>
    <w:rsid w:val="00DC46C0"/>
    <w:rsid w:val="00DC483F"/>
    <w:rsid w:val="00DC60C3"/>
    <w:rsid w:val="00DC68AC"/>
    <w:rsid w:val="00DC6F9A"/>
    <w:rsid w:val="00DC71A5"/>
    <w:rsid w:val="00DC7377"/>
    <w:rsid w:val="00DC758E"/>
    <w:rsid w:val="00DC75F9"/>
    <w:rsid w:val="00DD069A"/>
    <w:rsid w:val="00DD07D8"/>
    <w:rsid w:val="00DD0DAB"/>
    <w:rsid w:val="00DD104C"/>
    <w:rsid w:val="00DD125B"/>
    <w:rsid w:val="00DD1673"/>
    <w:rsid w:val="00DD206D"/>
    <w:rsid w:val="00DD4798"/>
    <w:rsid w:val="00DD532A"/>
    <w:rsid w:val="00DE021D"/>
    <w:rsid w:val="00DE03AC"/>
    <w:rsid w:val="00DE11AD"/>
    <w:rsid w:val="00DE4BE9"/>
    <w:rsid w:val="00DE51FA"/>
    <w:rsid w:val="00DE5816"/>
    <w:rsid w:val="00DE603F"/>
    <w:rsid w:val="00DE6DCB"/>
    <w:rsid w:val="00DF07A0"/>
    <w:rsid w:val="00DF3918"/>
    <w:rsid w:val="00DF4630"/>
    <w:rsid w:val="00DF5634"/>
    <w:rsid w:val="00DF5AA1"/>
    <w:rsid w:val="00DF5E92"/>
    <w:rsid w:val="00DF721B"/>
    <w:rsid w:val="00E0148B"/>
    <w:rsid w:val="00E01B51"/>
    <w:rsid w:val="00E027DB"/>
    <w:rsid w:val="00E02CD2"/>
    <w:rsid w:val="00E03E73"/>
    <w:rsid w:val="00E04EBD"/>
    <w:rsid w:val="00E059B9"/>
    <w:rsid w:val="00E05F66"/>
    <w:rsid w:val="00E06123"/>
    <w:rsid w:val="00E07239"/>
    <w:rsid w:val="00E109D4"/>
    <w:rsid w:val="00E111FE"/>
    <w:rsid w:val="00E113A3"/>
    <w:rsid w:val="00E132B2"/>
    <w:rsid w:val="00E13BA0"/>
    <w:rsid w:val="00E13BC0"/>
    <w:rsid w:val="00E13CF9"/>
    <w:rsid w:val="00E14888"/>
    <w:rsid w:val="00E14FDC"/>
    <w:rsid w:val="00E15C9A"/>
    <w:rsid w:val="00E169CC"/>
    <w:rsid w:val="00E16DFC"/>
    <w:rsid w:val="00E177D4"/>
    <w:rsid w:val="00E1798E"/>
    <w:rsid w:val="00E17CAA"/>
    <w:rsid w:val="00E20296"/>
    <w:rsid w:val="00E203B9"/>
    <w:rsid w:val="00E20F3F"/>
    <w:rsid w:val="00E21C26"/>
    <w:rsid w:val="00E22E0B"/>
    <w:rsid w:val="00E2358B"/>
    <w:rsid w:val="00E25BA5"/>
    <w:rsid w:val="00E2740E"/>
    <w:rsid w:val="00E27F9A"/>
    <w:rsid w:val="00E3017F"/>
    <w:rsid w:val="00E315D6"/>
    <w:rsid w:val="00E339EF"/>
    <w:rsid w:val="00E34299"/>
    <w:rsid w:val="00E35739"/>
    <w:rsid w:val="00E365BC"/>
    <w:rsid w:val="00E367A7"/>
    <w:rsid w:val="00E373A5"/>
    <w:rsid w:val="00E37824"/>
    <w:rsid w:val="00E40BC4"/>
    <w:rsid w:val="00E424BF"/>
    <w:rsid w:val="00E42501"/>
    <w:rsid w:val="00E43E75"/>
    <w:rsid w:val="00E43FB5"/>
    <w:rsid w:val="00E4458D"/>
    <w:rsid w:val="00E450D3"/>
    <w:rsid w:val="00E4543C"/>
    <w:rsid w:val="00E454B5"/>
    <w:rsid w:val="00E46027"/>
    <w:rsid w:val="00E47D9F"/>
    <w:rsid w:val="00E53281"/>
    <w:rsid w:val="00E54C6F"/>
    <w:rsid w:val="00E55618"/>
    <w:rsid w:val="00E55E31"/>
    <w:rsid w:val="00E55E7B"/>
    <w:rsid w:val="00E55F44"/>
    <w:rsid w:val="00E5693D"/>
    <w:rsid w:val="00E574BE"/>
    <w:rsid w:val="00E6001B"/>
    <w:rsid w:val="00E6030E"/>
    <w:rsid w:val="00E61756"/>
    <w:rsid w:val="00E61CF5"/>
    <w:rsid w:val="00E62A48"/>
    <w:rsid w:val="00E638BD"/>
    <w:rsid w:val="00E65114"/>
    <w:rsid w:val="00E65C77"/>
    <w:rsid w:val="00E65FF5"/>
    <w:rsid w:val="00E66778"/>
    <w:rsid w:val="00E669BE"/>
    <w:rsid w:val="00E6787F"/>
    <w:rsid w:val="00E714E0"/>
    <w:rsid w:val="00E744B9"/>
    <w:rsid w:val="00E74BE4"/>
    <w:rsid w:val="00E75B84"/>
    <w:rsid w:val="00E76399"/>
    <w:rsid w:val="00E76BA7"/>
    <w:rsid w:val="00E76DF2"/>
    <w:rsid w:val="00E773EE"/>
    <w:rsid w:val="00E77868"/>
    <w:rsid w:val="00E77AF9"/>
    <w:rsid w:val="00E77B13"/>
    <w:rsid w:val="00E803B6"/>
    <w:rsid w:val="00E8088E"/>
    <w:rsid w:val="00E80F14"/>
    <w:rsid w:val="00E80F46"/>
    <w:rsid w:val="00E81A4C"/>
    <w:rsid w:val="00E83A77"/>
    <w:rsid w:val="00E8438D"/>
    <w:rsid w:val="00E84675"/>
    <w:rsid w:val="00E854A9"/>
    <w:rsid w:val="00E85F9F"/>
    <w:rsid w:val="00E876E8"/>
    <w:rsid w:val="00E907CB"/>
    <w:rsid w:val="00E90B7F"/>
    <w:rsid w:val="00E913C4"/>
    <w:rsid w:val="00E91BE0"/>
    <w:rsid w:val="00E91C56"/>
    <w:rsid w:val="00E93C36"/>
    <w:rsid w:val="00E94504"/>
    <w:rsid w:val="00E954A9"/>
    <w:rsid w:val="00E96219"/>
    <w:rsid w:val="00E9673B"/>
    <w:rsid w:val="00E96E48"/>
    <w:rsid w:val="00EA1217"/>
    <w:rsid w:val="00EA17FF"/>
    <w:rsid w:val="00EA56D0"/>
    <w:rsid w:val="00EA572A"/>
    <w:rsid w:val="00EA698F"/>
    <w:rsid w:val="00EA69D6"/>
    <w:rsid w:val="00EA6CC0"/>
    <w:rsid w:val="00EA73C8"/>
    <w:rsid w:val="00EB20B5"/>
    <w:rsid w:val="00EB23E9"/>
    <w:rsid w:val="00EB285A"/>
    <w:rsid w:val="00EB2B47"/>
    <w:rsid w:val="00EB318B"/>
    <w:rsid w:val="00EB347A"/>
    <w:rsid w:val="00EB3B99"/>
    <w:rsid w:val="00EB441B"/>
    <w:rsid w:val="00EB471D"/>
    <w:rsid w:val="00EB7690"/>
    <w:rsid w:val="00EB7BA3"/>
    <w:rsid w:val="00EB7F4B"/>
    <w:rsid w:val="00EC0032"/>
    <w:rsid w:val="00EC1054"/>
    <w:rsid w:val="00EC1C64"/>
    <w:rsid w:val="00EC1DDC"/>
    <w:rsid w:val="00EC229E"/>
    <w:rsid w:val="00EC31FC"/>
    <w:rsid w:val="00EC38AB"/>
    <w:rsid w:val="00EC38C0"/>
    <w:rsid w:val="00EC4305"/>
    <w:rsid w:val="00EC494B"/>
    <w:rsid w:val="00EC56D1"/>
    <w:rsid w:val="00EC60E8"/>
    <w:rsid w:val="00EC6A5B"/>
    <w:rsid w:val="00EC6F5A"/>
    <w:rsid w:val="00EC7337"/>
    <w:rsid w:val="00ED0273"/>
    <w:rsid w:val="00ED29EF"/>
    <w:rsid w:val="00ED2ED6"/>
    <w:rsid w:val="00ED5384"/>
    <w:rsid w:val="00ED53A5"/>
    <w:rsid w:val="00ED53F7"/>
    <w:rsid w:val="00ED5C28"/>
    <w:rsid w:val="00ED63B5"/>
    <w:rsid w:val="00ED64F5"/>
    <w:rsid w:val="00ED6715"/>
    <w:rsid w:val="00ED6E74"/>
    <w:rsid w:val="00ED72F7"/>
    <w:rsid w:val="00ED7E70"/>
    <w:rsid w:val="00EE0B3D"/>
    <w:rsid w:val="00EE0DEC"/>
    <w:rsid w:val="00EE161B"/>
    <w:rsid w:val="00EE2000"/>
    <w:rsid w:val="00EE2B80"/>
    <w:rsid w:val="00EE3F04"/>
    <w:rsid w:val="00EE3F13"/>
    <w:rsid w:val="00EE4B9B"/>
    <w:rsid w:val="00EE4D47"/>
    <w:rsid w:val="00EE5939"/>
    <w:rsid w:val="00EE64A4"/>
    <w:rsid w:val="00EE728E"/>
    <w:rsid w:val="00EE767E"/>
    <w:rsid w:val="00EF04B3"/>
    <w:rsid w:val="00EF08AA"/>
    <w:rsid w:val="00EF2A0B"/>
    <w:rsid w:val="00EF4560"/>
    <w:rsid w:val="00EF4A63"/>
    <w:rsid w:val="00EF4C6F"/>
    <w:rsid w:val="00EF5113"/>
    <w:rsid w:val="00EF5512"/>
    <w:rsid w:val="00EF59A2"/>
    <w:rsid w:val="00EF5AC9"/>
    <w:rsid w:val="00EF5E8A"/>
    <w:rsid w:val="00EF6E10"/>
    <w:rsid w:val="00EF7B83"/>
    <w:rsid w:val="00F0025F"/>
    <w:rsid w:val="00F01638"/>
    <w:rsid w:val="00F0205C"/>
    <w:rsid w:val="00F02563"/>
    <w:rsid w:val="00F02E4C"/>
    <w:rsid w:val="00F03343"/>
    <w:rsid w:val="00F03CB4"/>
    <w:rsid w:val="00F044AA"/>
    <w:rsid w:val="00F045F0"/>
    <w:rsid w:val="00F04680"/>
    <w:rsid w:val="00F0514C"/>
    <w:rsid w:val="00F05204"/>
    <w:rsid w:val="00F06D2F"/>
    <w:rsid w:val="00F07042"/>
    <w:rsid w:val="00F07AA6"/>
    <w:rsid w:val="00F1120A"/>
    <w:rsid w:val="00F15572"/>
    <w:rsid w:val="00F15643"/>
    <w:rsid w:val="00F15867"/>
    <w:rsid w:val="00F16814"/>
    <w:rsid w:val="00F173C9"/>
    <w:rsid w:val="00F207EC"/>
    <w:rsid w:val="00F2118C"/>
    <w:rsid w:val="00F22BDF"/>
    <w:rsid w:val="00F2387B"/>
    <w:rsid w:val="00F2462C"/>
    <w:rsid w:val="00F27407"/>
    <w:rsid w:val="00F27417"/>
    <w:rsid w:val="00F30204"/>
    <w:rsid w:val="00F304A1"/>
    <w:rsid w:val="00F313D3"/>
    <w:rsid w:val="00F32084"/>
    <w:rsid w:val="00F323E5"/>
    <w:rsid w:val="00F32B18"/>
    <w:rsid w:val="00F3302F"/>
    <w:rsid w:val="00F3310C"/>
    <w:rsid w:val="00F341EB"/>
    <w:rsid w:val="00F3797C"/>
    <w:rsid w:val="00F411A6"/>
    <w:rsid w:val="00F41559"/>
    <w:rsid w:val="00F41D7B"/>
    <w:rsid w:val="00F42394"/>
    <w:rsid w:val="00F4316F"/>
    <w:rsid w:val="00F43A99"/>
    <w:rsid w:val="00F43CBE"/>
    <w:rsid w:val="00F4453F"/>
    <w:rsid w:val="00F44867"/>
    <w:rsid w:val="00F45811"/>
    <w:rsid w:val="00F46A93"/>
    <w:rsid w:val="00F46FCE"/>
    <w:rsid w:val="00F471AA"/>
    <w:rsid w:val="00F47719"/>
    <w:rsid w:val="00F47E22"/>
    <w:rsid w:val="00F47F5B"/>
    <w:rsid w:val="00F50B4B"/>
    <w:rsid w:val="00F533BD"/>
    <w:rsid w:val="00F53C72"/>
    <w:rsid w:val="00F53D5A"/>
    <w:rsid w:val="00F54D4D"/>
    <w:rsid w:val="00F553F9"/>
    <w:rsid w:val="00F570AB"/>
    <w:rsid w:val="00F574AE"/>
    <w:rsid w:val="00F6168A"/>
    <w:rsid w:val="00F625C3"/>
    <w:rsid w:val="00F62DFB"/>
    <w:rsid w:val="00F64574"/>
    <w:rsid w:val="00F647EE"/>
    <w:rsid w:val="00F64EA0"/>
    <w:rsid w:val="00F661F5"/>
    <w:rsid w:val="00F676FD"/>
    <w:rsid w:val="00F7108D"/>
    <w:rsid w:val="00F71316"/>
    <w:rsid w:val="00F720FF"/>
    <w:rsid w:val="00F72A0C"/>
    <w:rsid w:val="00F72E99"/>
    <w:rsid w:val="00F72FC1"/>
    <w:rsid w:val="00F73634"/>
    <w:rsid w:val="00F73761"/>
    <w:rsid w:val="00F73EA1"/>
    <w:rsid w:val="00F74143"/>
    <w:rsid w:val="00F7556E"/>
    <w:rsid w:val="00F75BEF"/>
    <w:rsid w:val="00F75F54"/>
    <w:rsid w:val="00F76F2E"/>
    <w:rsid w:val="00F779FB"/>
    <w:rsid w:val="00F77FF4"/>
    <w:rsid w:val="00F80582"/>
    <w:rsid w:val="00F806A3"/>
    <w:rsid w:val="00F8119D"/>
    <w:rsid w:val="00F827AF"/>
    <w:rsid w:val="00F8286D"/>
    <w:rsid w:val="00F84E28"/>
    <w:rsid w:val="00F87736"/>
    <w:rsid w:val="00F87748"/>
    <w:rsid w:val="00F87A3C"/>
    <w:rsid w:val="00F90500"/>
    <w:rsid w:val="00F90E25"/>
    <w:rsid w:val="00F91479"/>
    <w:rsid w:val="00F9252B"/>
    <w:rsid w:val="00F93581"/>
    <w:rsid w:val="00F94B8D"/>
    <w:rsid w:val="00F94BD1"/>
    <w:rsid w:val="00F9562A"/>
    <w:rsid w:val="00F95E25"/>
    <w:rsid w:val="00F977E8"/>
    <w:rsid w:val="00FA0C29"/>
    <w:rsid w:val="00FA0C71"/>
    <w:rsid w:val="00FA0C9E"/>
    <w:rsid w:val="00FA1CDF"/>
    <w:rsid w:val="00FA2C8D"/>
    <w:rsid w:val="00FA2EEB"/>
    <w:rsid w:val="00FA4DDB"/>
    <w:rsid w:val="00FA63A8"/>
    <w:rsid w:val="00FA6651"/>
    <w:rsid w:val="00FA6A67"/>
    <w:rsid w:val="00FA6AD9"/>
    <w:rsid w:val="00FA6B94"/>
    <w:rsid w:val="00FA7912"/>
    <w:rsid w:val="00FA7AB8"/>
    <w:rsid w:val="00FB00E4"/>
    <w:rsid w:val="00FB1275"/>
    <w:rsid w:val="00FB1602"/>
    <w:rsid w:val="00FB2770"/>
    <w:rsid w:val="00FB27DD"/>
    <w:rsid w:val="00FB3B3B"/>
    <w:rsid w:val="00FB59B1"/>
    <w:rsid w:val="00FB7B73"/>
    <w:rsid w:val="00FC0BBE"/>
    <w:rsid w:val="00FC1610"/>
    <w:rsid w:val="00FC1709"/>
    <w:rsid w:val="00FC29B2"/>
    <w:rsid w:val="00FC38FA"/>
    <w:rsid w:val="00FC45A5"/>
    <w:rsid w:val="00FC49C1"/>
    <w:rsid w:val="00FC6061"/>
    <w:rsid w:val="00FC62A4"/>
    <w:rsid w:val="00FC6B7A"/>
    <w:rsid w:val="00FC73EE"/>
    <w:rsid w:val="00FC77A2"/>
    <w:rsid w:val="00FD053B"/>
    <w:rsid w:val="00FD06CF"/>
    <w:rsid w:val="00FD1620"/>
    <w:rsid w:val="00FD19D1"/>
    <w:rsid w:val="00FD2056"/>
    <w:rsid w:val="00FD2E53"/>
    <w:rsid w:val="00FD3616"/>
    <w:rsid w:val="00FD4F3E"/>
    <w:rsid w:val="00FD4FA1"/>
    <w:rsid w:val="00FD50B0"/>
    <w:rsid w:val="00FD52E9"/>
    <w:rsid w:val="00FD551A"/>
    <w:rsid w:val="00FD558A"/>
    <w:rsid w:val="00FD5A68"/>
    <w:rsid w:val="00FD5C0D"/>
    <w:rsid w:val="00FD71FE"/>
    <w:rsid w:val="00FE03B6"/>
    <w:rsid w:val="00FE06FA"/>
    <w:rsid w:val="00FE0F67"/>
    <w:rsid w:val="00FE14B5"/>
    <w:rsid w:val="00FE2157"/>
    <w:rsid w:val="00FE255A"/>
    <w:rsid w:val="00FE2AE5"/>
    <w:rsid w:val="00FE3C7F"/>
    <w:rsid w:val="00FE3CE9"/>
    <w:rsid w:val="00FE4449"/>
    <w:rsid w:val="00FE4519"/>
    <w:rsid w:val="00FE5967"/>
    <w:rsid w:val="00FE5C59"/>
    <w:rsid w:val="00FE5E2C"/>
    <w:rsid w:val="00FE6162"/>
    <w:rsid w:val="00FE6D86"/>
    <w:rsid w:val="00FE7AEF"/>
    <w:rsid w:val="00FE7F65"/>
    <w:rsid w:val="00FF0356"/>
    <w:rsid w:val="00FF0933"/>
    <w:rsid w:val="00FF09F2"/>
    <w:rsid w:val="00FF0F1E"/>
    <w:rsid w:val="00FF11D7"/>
    <w:rsid w:val="00FF2560"/>
    <w:rsid w:val="00FF3647"/>
    <w:rsid w:val="00FF5115"/>
    <w:rsid w:val="00FF5ADE"/>
    <w:rsid w:val="00FF5D34"/>
    <w:rsid w:val="00FF7C96"/>
    <w:rsid w:val="00FF7D18"/>
    <w:rsid w:val="00FF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02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4C6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qFormat/>
    <w:rsid w:val="001002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25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74C6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0025E"/>
    <w:rPr>
      <w:rFonts w:ascii="Arial" w:eastAsia="Times New Roman" w:hAnsi="Arial" w:cs="Arial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locked/>
    <w:rsid w:val="0010025E"/>
    <w:rPr>
      <w:sz w:val="24"/>
      <w:szCs w:val="24"/>
    </w:rPr>
  </w:style>
  <w:style w:type="paragraph" w:styleId="a4">
    <w:name w:val="header"/>
    <w:basedOn w:val="a"/>
    <w:link w:val="a3"/>
    <w:uiPriority w:val="99"/>
    <w:rsid w:val="0010025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locked/>
    <w:rsid w:val="0010025E"/>
    <w:rPr>
      <w:sz w:val="24"/>
      <w:szCs w:val="24"/>
    </w:rPr>
  </w:style>
  <w:style w:type="paragraph" w:styleId="a6">
    <w:name w:val="footer"/>
    <w:basedOn w:val="a"/>
    <w:link w:val="a5"/>
    <w:uiPriority w:val="99"/>
    <w:rsid w:val="0010025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Знак Знак, Знак Знак"/>
    <w:basedOn w:val="a0"/>
    <w:link w:val="a8"/>
    <w:locked/>
    <w:rsid w:val="0010025E"/>
    <w:rPr>
      <w:sz w:val="24"/>
      <w:szCs w:val="24"/>
    </w:rPr>
  </w:style>
  <w:style w:type="paragraph" w:styleId="a8">
    <w:name w:val="Body Text Indent"/>
    <w:aliases w:val="Основной текст 1,Нумерованный список !!,Надин стиль,Основной текст без отступа,Знак, Знак"/>
    <w:basedOn w:val="a"/>
    <w:link w:val="a7"/>
    <w:rsid w:val="0010025E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3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,Знак Знак1"/>
    <w:basedOn w:val="a0"/>
    <w:uiPriority w:val="99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Красная строка 2 Знак"/>
    <w:basedOn w:val="a7"/>
    <w:link w:val="20"/>
    <w:locked/>
    <w:rsid w:val="0010025E"/>
    <w:rPr>
      <w:sz w:val="24"/>
      <w:szCs w:val="24"/>
    </w:rPr>
  </w:style>
  <w:style w:type="paragraph" w:styleId="20">
    <w:name w:val="Body Text First Indent 2"/>
    <w:basedOn w:val="a8"/>
    <w:link w:val="2"/>
    <w:rsid w:val="0010025E"/>
    <w:pPr>
      <w:ind w:firstLine="210"/>
    </w:pPr>
  </w:style>
  <w:style w:type="character" w:customStyle="1" w:styleId="21">
    <w:name w:val="Красная строка 2 Знак1"/>
    <w:basedOn w:val="13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3"/>
    <w:locked/>
    <w:rsid w:val="0010025E"/>
    <w:rPr>
      <w:sz w:val="24"/>
      <w:szCs w:val="24"/>
    </w:rPr>
  </w:style>
  <w:style w:type="paragraph" w:styleId="23">
    <w:name w:val="Body Text 2"/>
    <w:basedOn w:val="a"/>
    <w:link w:val="22"/>
    <w:rsid w:val="0010025E"/>
    <w:pPr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2 Знак1"/>
    <w:basedOn w:val="a0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10025E"/>
    <w:pPr>
      <w:spacing w:after="120"/>
    </w:pPr>
  </w:style>
  <w:style w:type="character" w:customStyle="1" w:styleId="ab">
    <w:name w:val="Название Знак"/>
    <w:basedOn w:val="a0"/>
    <w:link w:val="ac"/>
    <w:rsid w:val="0010025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Title"/>
    <w:basedOn w:val="a"/>
    <w:link w:val="ab"/>
    <w:qFormat/>
    <w:rsid w:val="0010025E"/>
    <w:pPr>
      <w:jc w:val="center"/>
    </w:pPr>
    <w:rPr>
      <w:b/>
      <w:bCs/>
    </w:rPr>
  </w:style>
  <w:style w:type="character" w:customStyle="1" w:styleId="3">
    <w:name w:val="Основной текст с отступом 3 Знак"/>
    <w:basedOn w:val="a0"/>
    <w:link w:val="30"/>
    <w:rsid w:val="001002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10025E"/>
    <w:pPr>
      <w:spacing w:after="120"/>
      <w:ind w:left="283"/>
    </w:pPr>
    <w:rPr>
      <w:sz w:val="16"/>
      <w:szCs w:val="16"/>
    </w:rPr>
  </w:style>
  <w:style w:type="character" w:customStyle="1" w:styleId="ad">
    <w:name w:val="Текст выноски Знак"/>
    <w:basedOn w:val="a0"/>
    <w:link w:val="ae"/>
    <w:semiHidden/>
    <w:rsid w:val="0010025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10025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002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Indent"/>
    <w:basedOn w:val="a"/>
    <w:rsid w:val="0010025E"/>
    <w:pPr>
      <w:ind w:left="708"/>
    </w:pPr>
    <w:rPr>
      <w:sz w:val="20"/>
      <w:szCs w:val="20"/>
    </w:rPr>
  </w:style>
  <w:style w:type="character" w:customStyle="1" w:styleId="14">
    <w:name w:val="Текст выноски Знак1"/>
    <w:basedOn w:val="a0"/>
    <w:semiHidden/>
    <w:locked/>
    <w:rsid w:val="00861E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8732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E13B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8732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873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Normal (Web)"/>
    <w:basedOn w:val="a"/>
    <w:uiPriority w:val="99"/>
    <w:rsid w:val="008732D9"/>
    <w:pPr>
      <w:spacing w:before="100" w:beforeAutospacing="1" w:after="100" w:afterAutospacing="1"/>
    </w:pPr>
  </w:style>
  <w:style w:type="paragraph" w:styleId="24">
    <w:name w:val="Body Text Indent 2"/>
    <w:basedOn w:val="a"/>
    <w:link w:val="25"/>
    <w:rsid w:val="008732D9"/>
    <w:pPr>
      <w:spacing w:after="120" w:line="480" w:lineRule="auto"/>
      <w:ind w:left="283"/>
    </w:pPr>
    <w:rPr>
      <w:rFonts w:eastAsia="Calibri"/>
    </w:rPr>
  </w:style>
  <w:style w:type="character" w:customStyle="1" w:styleId="25">
    <w:name w:val="Основной текст с отступом 2 Знак"/>
    <w:basedOn w:val="a0"/>
    <w:link w:val="24"/>
    <w:rsid w:val="008732D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link w:val="af2"/>
    <w:uiPriority w:val="34"/>
    <w:qFormat/>
    <w:rsid w:val="008732D9"/>
    <w:pPr>
      <w:ind w:left="720"/>
      <w:contextualSpacing/>
    </w:pPr>
  </w:style>
  <w:style w:type="character" w:customStyle="1" w:styleId="af2">
    <w:name w:val="Абзац списка Знак"/>
    <w:link w:val="af1"/>
    <w:uiPriority w:val="34"/>
    <w:locked/>
    <w:rsid w:val="002E13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84D8F"/>
    <w:pPr>
      <w:widowControl w:val="0"/>
      <w:autoSpaceDE w:val="0"/>
      <w:autoSpaceDN w:val="0"/>
      <w:adjustRightInd w:val="0"/>
      <w:spacing w:line="283" w:lineRule="exact"/>
      <w:jc w:val="center"/>
    </w:pPr>
  </w:style>
  <w:style w:type="character" w:customStyle="1" w:styleId="FontStyle28">
    <w:name w:val="Font Style28"/>
    <w:basedOn w:val="a0"/>
    <w:rsid w:val="00B84D8F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rsid w:val="00B84D8F"/>
    <w:pPr>
      <w:widowControl w:val="0"/>
      <w:autoSpaceDE w:val="0"/>
      <w:autoSpaceDN w:val="0"/>
      <w:adjustRightInd w:val="0"/>
      <w:spacing w:line="336" w:lineRule="exact"/>
    </w:pPr>
  </w:style>
  <w:style w:type="paragraph" w:customStyle="1" w:styleId="15">
    <w:name w:val="Обычный1"/>
    <w:rsid w:val="00CB57D6"/>
    <w:pPr>
      <w:spacing w:after="0"/>
    </w:pPr>
    <w:rPr>
      <w:rFonts w:ascii="Arial" w:eastAsia="Arial" w:hAnsi="Arial" w:cs="Arial"/>
      <w:color w:val="000000"/>
      <w:szCs w:val="20"/>
      <w:lang w:eastAsia="ru-RU"/>
    </w:rPr>
  </w:style>
  <w:style w:type="table" w:styleId="af3">
    <w:name w:val="Table Grid"/>
    <w:basedOn w:val="a1"/>
    <w:uiPriority w:val="59"/>
    <w:rsid w:val="00275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rsid w:val="003D43B0"/>
    <w:rPr>
      <w:color w:val="0000FF"/>
      <w:u w:val="single"/>
    </w:rPr>
  </w:style>
  <w:style w:type="paragraph" w:customStyle="1" w:styleId="ConsCell">
    <w:name w:val="ConsCell"/>
    <w:rsid w:val="003D43B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3D4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D43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7A3530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conspluscell0">
    <w:name w:val="conspluscell"/>
    <w:basedOn w:val="a"/>
    <w:rsid w:val="007A3530"/>
    <w:pPr>
      <w:spacing w:before="100" w:beforeAutospacing="1" w:after="100" w:afterAutospacing="1"/>
    </w:pPr>
  </w:style>
  <w:style w:type="paragraph" w:styleId="af6">
    <w:name w:val="Subtitle"/>
    <w:basedOn w:val="a"/>
    <w:next w:val="a"/>
    <w:link w:val="af7"/>
    <w:uiPriority w:val="11"/>
    <w:qFormat/>
    <w:rsid w:val="002E13BC"/>
    <w:pPr>
      <w:spacing w:after="60"/>
      <w:jc w:val="center"/>
      <w:outlineLvl w:val="1"/>
    </w:pPr>
    <w:rPr>
      <w:rFonts w:ascii="Cambria" w:hAnsi="Cambria"/>
    </w:rPr>
  </w:style>
  <w:style w:type="character" w:customStyle="1" w:styleId="af7">
    <w:name w:val="Подзаголовок Знак"/>
    <w:basedOn w:val="a0"/>
    <w:link w:val="af6"/>
    <w:uiPriority w:val="11"/>
    <w:rsid w:val="002E13BC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Default">
    <w:name w:val="Default"/>
    <w:rsid w:val="006A4C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C778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8">
    <w:name w:val="Прижатый влево"/>
    <w:basedOn w:val="a"/>
    <w:next w:val="a"/>
    <w:uiPriority w:val="99"/>
    <w:rsid w:val="00C778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6">
    <w:name w:val="Абзац списка2"/>
    <w:basedOn w:val="a"/>
    <w:uiPriority w:val="99"/>
    <w:qFormat/>
    <w:rsid w:val="00C778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17">
    <w:name w:val="Название Знак1"/>
    <w:basedOn w:val="a0"/>
    <w:uiPriority w:val="10"/>
    <w:locked/>
    <w:rsid w:val="00B203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B203C5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B203C5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3">
    <w:name w:val="xl6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64">
    <w:name w:val="xl6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5">
    <w:name w:val="xl6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66">
    <w:name w:val="xl66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7">
    <w:name w:val="xl6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9">
    <w:name w:val="xl69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2">
    <w:name w:val="xl7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">
    <w:name w:val="xl7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8">
    <w:name w:val="xl7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9">
    <w:name w:val="xl7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2">
    <w:name w:val="xl8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3">
    <w:name w:val="xl8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4">
    <w:name w:val="xl8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5">
    <w:name w:val="xl8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6">
    <w:name w:val="xl86"/>
    <w:basedOn w:val="a"/>
    <w:rsid w:val="00B203C5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7">
    <w:name w:val="xl8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88">
    <w:name w:val="xl88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9">
    <w:name w:val="xl89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92">
    <w:name w:val="xl92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3">
    <w:name w:val="xl93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6">
    <w:name w:val="xl9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xl99">
    <w:name w:val="xl9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0">
    <w:name w:val="xl10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2">
    <w:name w:val="xl10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3">
    <w:name w:val="xl10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4">
    <w:name w:val="xl10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B203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B203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7">
    <w:name w:val="xl10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9">
    <w:name w:val="xl109"/>
    <w:basedOn w:val="a"/>
    <w:rsid w:val="00B203C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B203C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B203C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B203C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B203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B203C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4">
    <w:name w:val="xl12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5">
    <w:name w:val="xl125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6">
    <w:name w:val="xl12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7">
    <w:name w:val="xl127"/>
    <w:basedOn w:val="a"/>
    <w:rsid w:val="00B203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8">
    <w:name w:val="xl128"/>
    <w:basedOn w:val="a"/>
    <w:rsid w:val="00B203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9">
    <w:name w:val="xl129"/>
    <w:basedOn w:val="a"/>
    <w:rsid w:val="00B203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0">
    <w:name w:val="xl130"/>
    <w:basedOn w:val="a"/>
    <w:rsid w:val="00B203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2">
    <w:name w:val="xl132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B203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B203C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B203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6">
    <w:name w:val="xl136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7">
    <w:name w:val="xl137"/>
    <w:basedOn w:val="a"/>
    <w:rsid w:val="00B203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8">
    <w:name w:val="xl138"/>
    <w:basedOn w:val="a"/>
    <w:rsid w:val="00B203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9">
    <w:name w:val="xl139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0">
    <w:name w:val="xl140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41">
    <w:name w:val="xl141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2">
    <w:name w:val="xl142"/>
    <w:basedOn w:val="a"/>
    <w:rsid w:val="00B203C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3">
    <w:name w:val="xl143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4">
    <w:name w:val="xl144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5">
    <w:name w:val="xl145"/>
    <w:basedOn w:val="a"/>
    <w:rsid w:val="00B203C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46">
    <w:name w:val="xl14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47">
    <w:name w:val="xl147"/>
    <w:basedOn w:val="a"/>
    <w:rsid w:val="00B203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B203C5"/>
    <w:pP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50">
    <w:name w:val="xl150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1">
    <w:name w:val="xl15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2">
    <w:name w:val="xl152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3">
    <w:name w:val="xl15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6">
    <w:name w:val="xl15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7">
    <w:name w:val="xl15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8">
    <w:name w:val="xl158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59">
    <w:name w:val="xl15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0">
    <w:name w:val="xl16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1">
    <w:name w:val="xl161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63">
    <w:name w:val="xl16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64">
    <w:name w:val="xl16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65">
    <w:name w:val="xl16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66">
    <w:name w:val="xl16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67">
    <w:name w:val="xl16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8">
    <w:name w:val="xl168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69">
    <w:name w:val="xl169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70">
    <w:name w:val="xl170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73">
    <w:name w:val="xl17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0"/>
      <w:szCs w:val="20"/>
    </w:rPr>
  </w:style>
  <w:style w:type="paragraph" w:customStyle="1" w:styleId="xl175">
    <w:name w:val="xl175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3333CC"/>
      <w:sz w:val="20"/>
      <w:szCs w:val="20"/>
    </w:rPr>
  </w:style>
  <w:style w:type="paragraph" w:customStyle="1" w:styleId="xl176">
    <w:name w:val="xl176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7">
    <w:name w:val="xl177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8">
    <w:name w:val="xl178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9">
    <w:name w:val="xl17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80">
    <w:name w:val="xl18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81">
    <w:name w:val="xl18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0"/>
      <w:szCs w:val="20"/>
    </w:rPr>
  </w:style>
  <w:style w:type="paragraph" w:customStyle="1" w:styleId="xl182">
    <w:name w:val="xl18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0"/>
      <w:szCs w:val="20"/>
    </w:rPr>
  </w:style>
  <w:style w:type="paragraph" w:customStyle="1" w:styleId="xl183">
    <w:name w:val="xl183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84">
    <w:name w:val="xl18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85">
    <w:name w:val="xl18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86">
    <w:name w:val="xl186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87">
    <w:name w:val="xl18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88">
    <w:name w:val="xl18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89">
    <w:name w:val="xl18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90">
    <w:name w:val="xl19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</w:pPr>
    <w:rPr>
      <w:b/>
      <w:bCs/>
      <w:sz w:val="20"/>
      <w:szCs w:val="20"/>
    </w:rPr>
  </w:style>
  <w:style w:type="paragraph" w:customStyle="1" w:styleId="xl191">
    <w:name w:val="xl19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xl192">
    <w:name w:val="xl19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3">
    <w:name w:val="xl19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4">
    <w:name w:val="xl19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95">
    <w:name w:val="xl195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6">
    <w:name w:val="xl19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7">
    <w:name w:val="xl19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 w:val="20"/>
      <w:szCs w:val="20"/>
    </w:rPr>
  </w:style>
  <w:style w:type="paragraph" w:customStyle="1" w:styleId="xl198">
    <w:name w:val="xl198"/>
    <w:basedOn w:val="a"/>
    <w:rsid w:val="00B203C5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xl199">
    <w:name w:val="xl199"/>
    <w:basedOn w:val="a"/>
    <w:rsid w:val="00B203C5"/>
    <w:pPr>
      <w:pBdr>
        <w:lef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0">
    <w:name w:val="xl200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1">
    <w:name w:val="xl201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2">
    <w:name w:val="xl20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C00000"/>
      <w:sz w:val="20"/>
      <w:szCs w:val="20"/>
    </w:rPr>
  </w:style>
  <w:style w:type="paragraph" w:customStyle="1" w:styleId="xl203">
    <w:name w:val="xl20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C00000"/>
      <w:sz w:val="20"/>
      <w:szCs w:val="20"/>
    </w:rPr>
  </w:style>
  <w:style w:type="paragraph" w:customStyle="1" w:styleId="xl204">
    <w:name w:val="xl20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5">
    <w:name w:val="xl20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6">
    <w:name w:val="xl20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7">
    <w:name w:val="xl207"/>
    <w:basedOn w:val="a"/>
    <w:rsid w:val="00B203C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8">
    <w:name w:val="xl208"/>
    <w:basedOn w:val="a"/>
    <w:rsid w:val="00B20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9">
    <w:name w:val="xl209"/>
    <w:basedOn w:val="a"/>
    <w:rsid w:val="00B203C5"/>
    <w:pPr>
      <w:pBdr>
        <w:top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0">
    <w:name w:val="xl210"/>
    <w:basedOn w:val="a"/>
    <w:rsid w:val="00B203C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1">
    <w:name w:val="xl211"/>
    <w:basedOn w:val="a"/>
    <w:rsid w:val="00B203C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2">
    <w:name w:val="xl212"/>
    <w:basedOn w:val="a"/>
    <w:rsid w:val="00B203C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3">
    <w:name w:val="xl213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4">
    <w:name w:val="xl214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5">
    <w:name w:val="xl215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6">
    <w:name w:val="xl216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7">
    <w:name w:val="xl217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8">
    <w:name w:val="xl218"/>
    <w:basedOn w:val="a"/>
    <w:rsid w:val="00B203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9">
    <w:name w:val="xl219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0">
    <w:name w:val="xl220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1">
    <w:name w:val="xl221"/>
    <w:basedOn w:val="a"/>
    <w:rsid w:val="00B203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2">
    <w:name w:val="xl222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31">
    <w:name w:val="Абзац списка3"/>
    <w:basedOn w:val="a"/>
    <w:uiPriority w:val="99"/>
    <w:qFormat/>
    <w:rsid w:val="001F034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a"/>
    <w:rsid w:val="001F0340"/>
    <w:rPr>
      <w:rFonts w:ascii="Verdana" w:hAnsi="Verdana"/>
      <w:sz w:val="21"/>
      <w:szCs w:val="21"/>
    </w:rPr>
  </w:style>
  <w:style w:type="paragraph" w:styleId="af9">
    <w:name w:val="Block Text"/>
    <w:basedOn w:val="a"/>
    <w:rsid w:val="00334DAF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14" w:right="5" w:firstLine="706"/>
      <w:jc w:val="both"/>
    </w:pPr>
    <w:rPr>
      <w:sz w:val="28"/>
      <w:szCs w:val="28"/>
    </w:rPr>
  </w:style>
  <w:style w:type="paragraph" w:customStyle="1" w:styleId="pt-aa-000014">
    <w:name w:val="pt-aa-000014"/>
    <w:basedOn w:val="a"/>
    <w:rsid w:val="00334DAF"/>
    <w:pPr>
      <w:spacing w:line="480" w:lineRule="auto"/>
      <w:ind w:firstLine="706"/>
      <w:jc w:val="both"/>
    </w:pPr>
    <w:rPr>
      <w:sz w:val="30"/>
      <w:szCs w:val="30"/>
    </w:rPr>
  </w:style>
  <w:style w:type="character" w:customStyle="1" w:styleId="pt-a0">
    <w:name w:val="pt-a0"/>
    <w:basedOn w:val="a0"/>
    <w:rsid w:val="00334DAF"/>
    <w:rPr>
      <w:rFonts w:ascii="Times New Roman" w:hAnsi="Times New Roman" w:cs="Times New Roman" w:hint="default"/>
      <w:b w:val="0"/>
      <w:bCs w:val="0"/>
      <w:i w:val="0"/>
      <w:iCs w:val="0"/>
      <w:sz w:val="30"/>
      <w:szCs w:val="30"/>
    </w:rPr>
  </w:style>
  <w:style w:type="character" w:customStyle="1" w:styleId="pt-a0-000013">
    <w:name w:val="pt-a0-000013"/>
    <w:basedOn w:val="a0"/>
    <w:rsid w:val="00334DAF"/>
    <w:rPr>
      <w:b w:val="0"/>
      <w:bCs w:val="0"/>
      <w:i w:val="0"/>
      <w:iCs w:val="0"/>
      <w:sz w:val="30"/>
      <w:szCs w:val="30"/>
    </w:rPr>
  </w:style>
  <w:style w:type="character" w:customStyle="1" w:styleId="FontStyle13">
    <w:name w:val="Font Style13"/>
    <w:uiPriority w:val="99"/>
    <w:rsid w:val="00334DAF"/>
    <w:rPr>
      <w:rFonts w:ascii="Times New Roman" w:hAnsi="Times New Roman" w:cs="Times New Roman"/>
      <w:sz w:val="22"/>
      <w:szCs w:val="22"/>
    </w:rPr>
  </w:style>
  <w:style w:type="character" w:customStyle="1" w:styleId="afa">
    <w:name w:val="Гипертекстовая ссылка"/>
    <w:basedOn w:val="a0"/>
    <w:uiPriority w:val="99"/>
    <w:rsid w:val="004F7C86"/>
    <w:rPr>
      <w:color w:val="106BBE"/>
    </w:rPr>
  </w:style>
  <w:style w:type="character" w:styleId="afb">
    <w:name w:val="Strong"/>
    <w:basedOn w:val="a0"/>
    <w:uiPriority w:val="22"/>
    <w:qFormat/>
    <w:rsid w:val="006C6B8A"/>
    <w:rPr>
      <w:b/>
      <w:bCs/>
    </w:rPr>
  </w:style>
  <w:style w:type="character" w:customStyle="1" w:styleId="apple-converted-space">
    <w:name w:val="apple-converted-space"/>
    <w:basedOn w:val="a0"/>
    <w:rsid w:val="006C6B8A"/>
  </w:style>
  <w:style w:type="character" w:customStyle="1" w:styleId="18">
    <w:name w:val="Основной текст Знак1"/>
    <w:basedOn w:val="a0"/>
    <w:semiHidden/>
    <w:locked/>
    <w:rsid w:val="00376C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545A00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styleId="afc">
    <w:name w:val="Emphasis"/>
    <w:basedOn w:val="a0"/>
    <w:uiPriority w:val="20"/>
    <w:qFormat/>
    <w:rsid w:val="003351D6"/>
    <w:rPr>
      <w:i/>
      <w:iCs/>
    </w:rPr>
  </w:style>
  <w:style w:type="paragraph" w:styleId="afd">
    <w:name w:val="No Spacing"/>
    <w:uiPriority w:val="1"/>
    <w:qFormat/>
    <w:rsid w:val="009E3F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9">
    <w:name w:val="Нижний колонтитул1"/>
    <w:basedOn w:val="a"/>
    <w:next w:val="af1"/>
    <w:uiPriority w:val="99"/>
    <w:rsid w:val="000E1070"/>
    <w:pPr>
      <w:tabs>
        <w:tab w:val="center" w:pos="4677"/>
        <w:tab w:val="right" w:pos="9355"/>
      </w:tabs>
    </w:pPr>
    <w:rPr>
      <w:rFonts w:eastAsiaTheme="minorHAnsi"/>
    </w:rPr>
  </w:style>
  <w:style w:type="paragraph" w:customStyle="1" w:styleId="formattext">
    <w:name w:val="formattext"/>
    <w:basedOn w:val="a"/>
    <w:rsid w:val="000E107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160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8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2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03921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0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78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0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21B6AFCD8A28B32EFA80456E84429F63FCF1E5E7BF2852819539EF6BC0CC4BE74A331B64705770DCZFJ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1CFC0A7D6A90A944C1178AEC5DEC932D3A7A88C3F0DCA8AD7A59E612F1E6C6F556AFC0B5014AA07A595EAF4ACA521934CCD8E5BA5EESEQA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64A4EB1FFBEA6D2232C7120B2E5F17922183A51F732A98E2365E17B6D5F6F0797734904A4AA9AE6JFpA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0E13630904A896A5A6DA9CD24B74488CA38C9B3F2FF00FB13DD47D8BD696228CFA02A94FC5C04F37791D3EF7F39EADA5315FD3A4531A545z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0E4FD2B466F461BCD9F4D1602054F7ECD64EAB168E5978793F011FF4AD07E476D6DCB5260454D11E6404983C1364651544FCFB9522A6DB58BF8CL2p8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7C4142-7FCE-473E-B162-1CC8D4807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4584</TotalTime>
  <Pages>21</Pages>
  <Words>7593</Words>
  <Characters>43281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50773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Петерс Надежда Александровна</dc:creator>
  <cp:lastModifiedBy>sea</cp:lastModifiedBy>
  <cp:revision>351</cp:revision>
  <cp:lastPrinted>2019-11-15T03:54:00Z</cp:lastPrinted>
  <dcterms:created xsi:type="dcterms:W3CDTF">2017-11-14T10:16:00Z</dcterms:created>
  <dcterms:modified xsi:type="dcterms:W3CDTF">2019-11-17T12:04:00Z</dcterms:modified>
</cp:coreProperties>
</file>